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BBED5" w14:textId="77777777" w:rsidR="00696A33" w:rsidRDefault="00696A33" w:rsidP="0089586E">
      <w:pPr>
        <w:jc w:val="center"/>
        <w:rPr>
          <w:b/>
          <w:bCs/>
          <w:sz w:val="28"/>
          <w:szCs w:val="32"/>
        </w:rPr>
      </w:pPr>
    </w:p>
    <w:p w14:paraId="4C0BB6D6" w14:textId="074302B6" w:rsidR="0089586E" w:rsidRDefault="00777BEB" w:rsidP="0089586E">
      <w:pPr>
        <w:jc w:val="center"/>
        <w:rPr>
          <w:b/>
          <w:bCs/>
          <w:sz w:val="28"/>
          <w:szCs w:val="32"/>
        </w:rPr>
      </w:pPr>
      <w:r w:rsidRPr="00777BEB">
        <w:rPr>
          <w:b/>
          <w:bCs/>
          <w:sz w:val="28"/>
          <w:szCs w:val="32"/>
        </w:rPr>
        <w:t>史笔与铭文：</w:t>
      </w:r>
      <w:r w:rsidRPr="00777BEB">
        <w:rPr>
          <w:b/>
          <w:bCs/>
          <w:sz w:val="28"/>
          <w:szCs w:val="32"/>
        </w:rPr>
        <w:t xml:space="preserve">Latin BERT </w:t>
      </w:r>
      <w:r w:rsidRPr="00777BEB">
        <w:rPr>
          <w:b/>
          <w:bCs/>
          <w:sz w:val="28"/>
          <w:szCs w:val="32"/>
        </w:rPr>
        <w:t>下的</w:t>
      </w:r>
      <w:r>
        <w:rPr>
          <w:rFonts w:hint="eastAsia"/>
          <w:b/>
          <w:bCs/>
          <w:sz w:val="28"/>
          <w:szCs w:val="32"/>
        </w:rPr>
        <w:t>塔西佗</w:t>
      </w:r>
      <w:r>
        <w:rPr>
          <w:rFonts w:hint="eastAsia"/>
          <w:b/>
          <w:bCs/>
          <w:sz w:val="28"/>
          <w:szCs w:val="32"/>
        </w:rPr>
        <w:t>-</w:t>
      </w:r>
      <w:r>
        <w:rPr>
          <w:rFonts w:hint="eastAsia"/>
          <w:b/>
          <w:bCs/>
          <w:sz w:val="28"/>
          <w:szCs w:val="32"/>
        </w:rPr>
        <w:t>元老院决议</w:t>
      </w:r>
      <w:r w:rsidRPr="00777BEB">
        <w:rPr>
          <w:b/>
          <w:bCs/>
          <w:sz w:val="28"/>
          <w:szCs w:val="32"/>
        </w:rPr>
        <w:t>互文观察</w:t>
      </w:r>
    </w:p>
    <w:p w14:paraId="203DF068" w14:textId="77777777" w:rsidR="0089586E" w:rsidRDefault="0089586E" w:rsidP="0089586E">
      <w:pPr>
        <w:jc w:val="center"/>
      </w:pPr>
    </w:p>
    <w:p w14:paraId="23A88940" w14:textId="7FA2B670" w:rsidR="0089586E" w:rsidRPr="0089586E" w:rsidRDefault="0089586E" w:rsidP="0089586E">
      <w:pPr>
        <w:jc w:val="center"/>
      </w:pPr>
      <w:r w:rsidRPr="0089586E">
        <w:rPr>
          <w:rFonts w:hint="eastAsia"/>
        </w:rPr>
        <w:t>周星宇</w:t>
      </w:r>
      <w:r w:rsidRPr="0089586E">
        <w:rPr>
          <w:rFonts w:hint="eastAsia"/>
        </w:rPr>
        <w:t xml:space="preserve"> </w:t>
      </w:r>
      <w:r w:rsidRPr="0089586E">
        <w:rPr>
          <w:rFonts w:hint="eastAsia"/>
        </w:rPr>
        <w:t>历史学系</w:t>
      </w:r>
      <w:r w:rsidRPr="0089586E">
        <w:rPr>
          <w:rFonts w:hint="eastAsia"/>
        </w:rPr>
        <w:t xml:space="preserve"> 2500014572</w:t>
      </w:r>
    </w:p>
    <w:p w14:paraId="4D4A83BE" w14:textId="77777777" w:rsidR="0089586E" w:rsidRDefault="0089586E"/>
    <w:p w14:paraId="0DB970C0" w14:textId="77777777" w:rsidR="0089586E" w:rsidRDefault="0089586E"/>
    <w:p w14:paraId="5EE12DB1" w14:textId="77777777" w:rsidR="0089586E" w:rsidRDefault="0089586E"/>
    <w:p w14:paraId="5ED7BBB3" w14:textId="1E2725C8" w:rsidR="009B7BCA" w:rsidRDefault="009B7BCA">
      <w:r>
        <w:rPr>
          <w:rFonts w:hint="eastAsia"/>
        </w:rPr>
        <w:t>一、研究问题</w:t>
      </w:r>
    </w:p>
    <w:p w14:paraId="128D6ACA" w14:textId="6B4F4788" w:rsidR="009048E4" w:rsidRDefault="000A1DA1" w:rsidP="009B7BCA">
      <w:r>
        <w:tab/>
      </w:r>
      <w:r w:rsidR="00517D91">
        <w:rPr>
          <w:rFonts w:hint="eastAsia"/>
        </w:rPr>
        <w:t>玛蒂娜·迪本布洛克（</w:t>
      </w:r>
      <w:r w:rsidR="00517D91" w:rsidRPr="00517D91">
        <w:t>Martine Diepenbroek</w:t>
      </w:r>
      <w:r w:rsidR="00517D91">
        <w:rPr>
          <w:rFonts w:hint="eastAsia"/>
        </w:rPr>
        <w:t>）通过</w:t>
      </w:r>
      <w:r>
        <w:rPr>
          <w:rFonts w:hint="eastAsia"/>
        </w:rPr>
        <w:t>李维《建城以来史》和</w:t>
      </w:r>
      <w:r w:rsidR="00517D91">
        <w:rPr>
          <w:rFonts w:hint="eastAsia"/>
        </w:rPr>
        <w:t>《</w:t>
      </w:r>
      <w:r>
        <w:rPr>
          <w:rFonts w:hint="eastAsia"/>
        </w:rPr>
        <w:t>关于巴克斯崇拜的元老院</w:t>
      </w:r>
      <w:r w:rsidR="00517D91">
        <w:rPr>
          <w:rFonts w:hint="eastAsia"/>
        </w:rPr>
        <w:t>决议》的</w:t>
      </w:r>
      <w:r>
        <w:rPr>
          <w:rFonts w:hint="eastAsia"/>
        </w:rPr>
        <w:t>对读</w:t>
      </w:r>
      <w:r w:rsidR="00517D91">
        <w:rPr>
          <w:rFonts w:hint="eastAsia"/>
        </w:rPr>
        <w:t>，利用形象学（</w:t>
      </w:r>
      <w:r w:rsidR="00517D91" w:rsidRPr="00517D91">
        <w:t>Imagology</w:t>
      </w:r>
      <w:r w:rsidR="00517D91">
        <w:rPr>
          <w:rFonts w:hint="eastAsia"/>
        </w:rPr>
        <w:t>）的方法，展示了二者间的异同以及其背后的作者动机，</w:t>
      </w:r>
      <w:r w:rsidR="00517D91" w:rsidRPr="00517D91">
        <w:t>将李维研究从传统的史学真实性问题转向了文本的社会功能与意识形态分析。</w:t>
      </w:r>
      <w:r w:rsidR="008B5BAE">
        <w:rPr>
          <w:rStyle w:val="af6"/>
        </w:rPr>
        <w:footnoteReference w:id="1"/>
      </w:r>
      <w:r w:rsidR="00517D91">
        <w:rPr>
          <w:rFonts w:hint="eastAsia"/>
        </w:rPr>
        <w:t>本文受到</w:t>
      </w:r>
      <w:r w:rsidR="00501723">
        <w:rPr>
          <w:rFonts w:hint="eastAsia"/>
        </w:rPr>
        <w:t>该</w:t>
      </w:r>
      <w:r>
        <w:rPr>
          <w:rFonts w:hint="eastAsia"/>
        </w:rPr>
        <w:t>研究</w:t>
      </w:r>
      <w:r w:rsidR="00501723">
        <w:rPr>
          <w:rFonts w:hint="eastAsia"/>
        </w:rPr>
        <w:t>以及本学期数字人文相关课程的</w:t>
      </w:r>
      <w:r w:rsidR="00E45EDA">
        <w:rPr>
          <w:rFonts w:hint="eastAsia"/>
        </w:rPr>
        <w:t>启发</w:t>
      </w:r>
      <w:r>
        <w:rPr>
          <w:rFonts w:hint="eastAsia"/>
        </w:rPr>
        <w:t>，希望通过</w:t>
      </w:r>
      <w:r w:rsidR="00501723">
        <w:rPr>
          <w:rFonts w:hint="eastAsia"/>
        </w:rPr>
        <w:t>文本向量化分析</w:t>
      </w:r>
      <w:r w:rsidR="00517D91">
        <w:rPr>
          <w:rFonts w:hint="eastAsia"/>
        </w:rPr>
        <w:t>对元老院决议的</w:t>
      </w:r>
      <w:r w:rsidR="00395DC3">
        <w:rPr>
          <w:rFonts w:hint="eastAsia"/>
        </w:rPr>
        <w:t>铭刻</w:t>
      </w:r>
      <w:r w:rsidR="00517D91">
        <w:rPr>
          <w:rFonts w:hint="eastAsia"/>
        </w:rPr>
        <w:t>原本和传世文献中对同一事件</w:t>
      </w:r>
      <w:r w:rsidR="00ED73E8">
        <w:rPr>
          <w:rFonts w:hint="eastAsia"/>
        </w:rPr>
        <w:t>进行</w:t>
      </w:r>
      <w:r w:rsidR="00517D91">
        <w:rPr>
          <w:rFonts w:hint="eastAsia"/>
        </w:rPr>
        <w:t>对比阅读，</w:t>
      </w:r>
      <w:r w:rsidR="009B7BCA">
        <w:rPr>
          <w:rFonts w:hint="eastAsia"/>
        </w:rPr>
        <w:t>发现二者的</w:t>
      </w:r>
      <w:r w:rsidR="006334B8">
        <w:rPr>
          <w:rFonts w:hint="eastAsia"/>
        </w:rPr>
        <w:t>异同</w:t>
      </w:r>
      <w:r w:rsidR="00517D91">
        <w:rPr>
          <w:rFonts w:hint="eastAsia"/>
        </w:rPr>
        <w:t>，探索其</w:t>
      </w:r>
      <w:r w:rsidR="009B7BCA">
        <w:rPr>
          <w:rFonts w:hint="eastAsia"/>
        </w:rPr>
        <w:t>背后的历史原因。</w:t>
      </w:r>
    </w:p>
    <w:p w14:paraId="6ACDBCAC" w14:textId="57553E51" w:rsidR="009B7BCA" w:rsidRDefault="009B7BCA" w:rsidP="009B7BCA">
      <w:r>
        <w:rPr>
          <w:rFonts w:hint="eastAsia"/>
        </w:rPr>
        <w:t>二、研究对象</w:t>
      </w:r>
      <w:r w:rsidR="00E13232">
        <w:rPr>
          <w:rFonts w:hint="eastAsia"/>
        </w:rPr>
        <w:t>与素材处理</w:t>
      </w:r>
    </w:p>
    <w:p w14:paraId="1AF8E73B" w14:textId="7AC08AD6" w:rsidR="009B7BCA" w:rsidRDefault="009B7BCA" w:rsidP="009B7BCA">
      <w:r>
        <w:tab/>
      </w:r>
      <w:r w:rsidR="00517D91">
        <w:rPr>
          <w:rFonts w:hint="eastAsia"/>
        </w:rPr>
        <w:t>本文</w:t>
      </w:r>
      <w:r>
        <w:rPr>
          <w:rFonts w:hint="eastAsia"/>
        </w:rPr>
        <w:t>选取研究对象的过程，从</w:t>
      </w:r>
      <w:r>
        <w:rPr>
          <w:rFonts w:hint="eastAsia"/>
        </w:rPr>
        <w:t>EDCS</w:t>
      </w:r>
      <w:r>
        <w:rPr>
          <w:rFonts w:hint="eastAsia"/>
        </w:rPr>
        <w:t>数据库开始，原因在于它提供了全文检索和铭文分类</w:t>
      </w:r>
      <w:r w:rsidR="00517D91">
        <w:rPr>
          <w:rFonts w:hint="eastAsia"/>
        </w:rPr>
        <w:t>，并附有铭文图片，可以相对迅速查找到有关内容</w:t>
      </w:r>
      <w:r>
        <w:rPr>
          <w:rFonts w:hint="eastAsia"/>
        </w:rPr>
        <w:t>。通过“</w:t>
      </w:r>
      <w:r>
        <w:rPr>
          <w:rFonts w:hint="eastAsia"/>
        </w:rPr>
        <w:t>SC</w:t>
      </w:r>
      <w:r>
        <w:rPr>
          <w:rFonts w:hint="eastAsia"/>
        </w:rPr>
        <w:t>”“</w:t>
      </w:r>
      <w:r>
        <w:rPr>
          <w:rFonts w:hint="eastAsia"/>
        </w:rPr>
        <w:t>Senatus Consultum</w:t>
      </w:r>
      <w:r>
        <w:rPr>
          <w:rFonts w:hint="eastAsia"/>
        </w:rPr>
        <w:t>”关键词和勾选“</w:t>
      </w:r>
      <w:r>
        <w:rPr>
          <w:rFonts w:hint="eastAsia"/>
        </w:rPr>
        <w:t>Senatus Consulta</w:t>
      </w:r>
      <w:r>
        <w:rPr>
          <w:rFonts w:hint="eastAsia"/>
        </w:rPr>
        <w:t>”类别，获得了一批</w:t>
      </w:r>
      <w:r w:rsidR="00517D91">
        <w:rPr>
          <w:rFonts w:hint="eastAsia"/>
        </w:rPr>
        <w:t>初步</w:t>
      </w:r>
      <w:r>
        <w:rPr>
          <w:rFonts w:hint="eastAsia"/>
        </w:rPr>
        <w:t>检索结果，但是检索结果并非</w:t>
      </w:r>
      <w:r w:rsidR="00517D91">
        <w:rPr>
          <w:rFonts w:hint="eastAsia"/>
        </w:rPr>
        <w:t>都是元老院决议本身，许多是提及元老院的非决议文本</w:t>
      </w:r>
      <w:r w:rsidR="00495C6E">
        <w:rPr>
          <w:rFonts w:hint="eastAsia"/>
        </w:rPr>
        <w:t>。罗伯特·舍克（</w:t>
      </w:r>
      <w:r w:rsidR="00495C6E">
        <w:rPr>
          <w:rFonts w:hint="eastAsia"/>
        </w:rPr>
        <w:t>Robert K. Sherk</w:t>
      </w:r>
      <w:r w:rsidR="00495C6E">
        <w:rPr>
          <w:rFonts w:hint="eastAsia"/>
        </w:rPr>
        <w:t>）的《希腊东方的罗马文献》（</w:t>
      </w:r>
      <w:r w:rsidR="00495C6E" w:rsidRPr="00495C6E">
        <w:rPr>
          <w:rFonts w:hint="eastAsia"/>
          <w:i/>
          <w:iCs/>
        </w:rPr>
        <w:t>Roman Documents From the Gre</w:t>
      </w:r>
      <w:r w:rsidR="00ED73E8">
        <w:rPr>
          <w:rFonts w:hint="eastAsia"/>
          <w:i/>
          <w:iCs/>
        </w:rPr>
        <w:t>e</w:t>
      </w:r>
      <w:r w:rsidR="00495C6E" w:rsidRPr="00495C6E">
        <w:rPr>
          <w:rFonts w:hint="eastAsia"/>
          <w:i/>
          <w:iCs/>
        </w:rPr>
        <w:t>k East</w:t>
      </w:r>
      <w:r w:rsidR="00495C6E">
        <w:rPr>
          <w:rFonts w:hint="eastAsia"/>
        </w:rPr>
        <w:t>）中对元老院决议的程式语言做出了如下总结：</w:t>
      </w:r>
      <w:r w:rsidR="00A64A0F">
        <w:rPr>
          <w:rFonts w:hint="eastAsia"/>
        </w:rPr>
        <w:t>由</w:t>
      </w:r>
      <w:r w:rsidR="00A64A0F" w:rsidRPr="00A64A0F">
        <w:rPr>
          <w:rFonts w:hint="eastAsia"/>
        </w:rPr>
        <w:t>“</w:t>
      </w:r>
      <w:r w:rsidR="00A64A0F" w:rsidRPr="00A64A0F">
        <w:t>quod</w:t>
      </w:r>
      <w:r w:rsidR="00A64A0F" w:rsidRPr="00A64A0F">
        <w:rPr>
          <w:rFonts w:hint="eastAsia"/>
        </w:rPr>
        <w:t xml:space="preserve"> </w:t>
      </w:r>
      <w:r w:rsidR="00A64A0F" w:rsidRPr="00A64A0F">
        <w:t>…</w:t>
      </w:r>
      <w:r w:rsidR="00A64A0F" w:rsidRPr="00A64A0F">
        <w:rPr>
          <w:rFonts w:hint="eastAsia"/>
        </w:rPr>
        <w:t xml:space="preserve"> </w:t>
      </w:r>
      <w:r w:rsidR="00A64A0F" w:rsidRPr="00A64A0F">
        <w:t>verba fecit de…</w:t>
      </w:r>
      <w:r w:rsidR="00A64A0F" w:rsidRPr="00A64A0F">
        <w:rPr>
          <w:rFonts w:hint="eastAsia"/>
        </w:rPr>
        <w:t>”</w:t>
      </w:r>
      <w:r w:rsidR="00A64A0F">
        <w:rPr>
          <w:rFonts w:hint="eastAsia"/>
        </w:rPr>
        <w:t>引出</w:t>
      </w:r>
      <w:r w:rsidR="00A64A0F" w:rsidRPr="00A64A0F">
        <w:t>议题的背景、动机及事件经过</w:t>
      </w:r>
      <w:r w:rsidR="00A64A0F">
        <w:rPr>
          <w:rFonts w:hint="eastAsia"/>
        </w:rPr>
        <w:t>，以“</w:t>
      </w:r>
      <w:r w:rsidR="00A64A0F" w:rsidRPr="00A64A0F">
        <w:t>d(e) e(a) r(e) i(ta) c(ensuerunt)</w:t>
      </w:r>
      <w:r w:rsidR="00A64A0F">
        <w:rPr>
          <w:rFonts w:hint="eastAsia"/>
        </w:rPr>
        <w:t>”收束议题，“</w:t>
      </w:r>
      <w:r w:rsidR="00A64A0F">
        <w:rPr>
          <w:rFonts w:hint="eastAsia"/>
        </w:rPr>
        <w:t>ut</w:t>
      </w:r>
      <w:r w:rsidR="00A64A0F">
        <w:rPr>
          <w:rFonts w:hint="eastAsia"/>
        </w:rPr>
        <w:t>”引出决议正文，最后以表决标记“</w:t>
      </w:r>
      <w:r w:rsidR="00A64A0F" w:rsidRPr="00A64A0F">
        <w:t>c(ensuere</w:t>
      </w:r>
      <w:r w:rsidR="00A64A0F">
        <w:rPr>
          <w:rFonts w:hint="eastAsia"/>
        </w:rPr>
        <w:t>)</w:t>
      </w:r>
      <w:r w:rsidR="00A64A0F">
        <w:rPr>
          <w:rFonts w:hint="eastAsia"/>
        </w:rPr>
        <w:t>”结束。</w:t>
      </w:r>
      <w:r w:rsidR="00A64A0F">
        <w:rPr>
          <w:rStyle w:val="af6"/>
        </w:rPr>
        <w:footnoteReference w:id="2"/>
      </w:r>
      <w:r w:rsidR="00B04159">
        <w:rPr>
          <w:rFonts w:hint="eastAsia"/>
        </w:rPr>
        <w:t>通过检索以上的确定格式，我锁定了一批元老院决议，同时，通过</w:t>
      </w:r>
      <w:r w:rsidR="00165823">
        <w:rPr>
          <w:rFonts w:hint="eastAsia"/>
        </w:rPr>
        <w:t>询问大模型和</w:t>
      </w:r>
      <w:r w:rsidR="00733101" w:rsidRPr="00733101">
        <w:t>佩耳修斯</w:t>
      </w:r>
      <w:r w:rsidR="00733101">
        <w:rPr>
          <w:rFonts w:hint="eastAsia"/>
        </w:rPr>
        <w:t>图书馆（</w:t>
      </w:r>
      <w:r w:rsidR="00165823">
        <w:rPr>
          <w:rFonts w:hint="eastAsia"/>
        </w:rPr>
        <w:t>Perseus Library</w:t>
      </w:r>
      <w:r w:rsidR="00733101">
        <w:rPr>
          <w:rFonts w:hint="eastAsia"/>
        </w:rPr>
        <w:t>）数据库</w:t>
      </w:r>
      <w:r w:rsidR="00165823">
        <w:rPr>
          <w:rFonts w:hint="eastAsia"/>
        </w:rPr>
        <w:t>查证，锁定了一组元老院决议</w:t>
      </w:r>
      <w:r w:rsidR="00165823">
        <w:rPr>
          <w:rFonts w:hint="eastAsia"/>
        </w:rPr>
        <w:t>-</w:t>
      </w:r>
      <w:r w:rsidR="00165823">
        <w:rPr>
          <w:rFonts w:hint="eastAsia"/>
        </w:rPr>
        <w:t>传世文献记载的文本：《关于老皮索案的元老院决议》（</w:t>
      </w:r>
      <w:r w:rsidR="00165823" w:rsidRPr="00165823">
        <w:rPr>
          <w:i/>
          <w:iCs/>
        </w:rPr>
        <w:t>Senatus Consultum de Cn. Pisone Patre</w:t>
      </w:r>
      <w:r w:rsidR="00A00A1F">
        <w:rPr>
          <w:rFonts w:hint="eastAsia"/>
        </w:rPr>
        <w:t>，下文简称</w:t>
      </w:r>
      <w:r w:rsidR="00A00A1F">
        <w:rPr>
          <w:rFonts w:hint="eastAsia"/>
        </w:rPr>
        <w:t>SCPP</w:t>
      </w:r>
      <w:r w:rsidR="00165823">
        <w:rPr>
          <w:rFonts w:hint="eastAsia"/>
        </w:rPr>
        <w:t>）</w:t>
      </w:r>
      <w:r w:rsidR="00733101">
        <w:rPr>
          <w:rFonts w:hint="eastAsia"/>
        </w:rPr>
        <w:t>和塔西佗《编年史》</w:t>
      </w:r>
      <w:r w:rsidR="00395DC3">
        <w:rPr>
          <w:rFonts w:hint="eastAsia"/>
        </w:rPr>
        <w:t>，用以比较二者记述的差别</w:t>
      </w:r>
      <w:r w:rsidR="0083249C">
        <w:rPr>
          <w:rFonts w:hint="eastAsia"/>
        </w:rPr>
        <w:t>。同时，为了作为对照，</w:t>
      </w:r>
      <w:r w:rsidR="003751AD">
        <w:rPr>
          <w:rFonts w:hint="eastAsia"/>
        </w:rPr>
        <w:t>记载了</w:t>
      </w:r>
      <w:r w:rsidR="0083249C">
        <w:rPr>
          <w:rFonts w:hint="eastAsia"/>
        </w:rPr>
        <w:t>克劳狄乌斯皇帝关于长发高卢贵族进入元老院发表的演说</w:t>
      </w:r>
      <w:r w:rsidR="003751AD">
        <w:rPr>
          <w:rFonts w:hint="eastAsia"/>
        </w:rPr>
        <w:t>的里昂铜板（</w:t>
      </w:r>
      <w:r w:rsidR="003751AD" w:rsidRPr="003751AD">
        <w:t>Tabula Lugdunensis</w:t>
      </w:r>
      <w:r w:rsidR="003751AD">
        <w:rPr>
          <w:rFonts w:hint="eastAsia"/>
        </w:rPr>
        <w:t>）</w:t>
      </w:r>
      <w:r w:rsidR="0083249C">
        <w:rPr>
          <w:rFonts w:hint="eastAsia"/>
        </w:rPr>
        <w:t>和塔西佗文献</w:t>
      </w:r>
      <w:r w:rsidR="00710752">
        <w:rPr>
          <w:rFonts w:hint="eastAsia"/>
        </w:rPr>
        <w:t>的相关</w:t>
      </w:r>
      <w:r w:rsidR="00ED73E8">
        <w:rPr>
          <w:rFonts w:hint="eastAsia"/>
        </w:rPr>
        <w:t>段</w:t>
      </w:r>
      <w:r w:rsidR="00ED73E8">
        <w:rPr>
          <w:rFonts w:hint="eastAsia"/>
        </w:rPr>
        <w:lastRenderedPageBreak/>
        <w:t>落</w:t>
      </w:r>
      <w:r w:rsidR="00710752">
        <w:rPr>
          <w:rFonts w:hint="eastAsia"/>
        </w:rPr>
        <w:t>也</w:t>
      </w:r>
      <w:r w:rsidR="0083249C">
        <w:rPr>
          <w:rFonts w:hint="eastAsia"/>
        </w:rPr>
        <w:t>包括在考察数据集中。</w:t>
      </w:r>
    </w:p>
    <w:p w14:paraId="182F515E" w14:textId="1E9499D8" w:rsidR="0032456B" w:rsidRDefault="00314305" w:rsidP="0032456B">
      <w:pPr>
        <w:ind w:firstLine="420"/>
      </w:pPr>
      <w:r>
        <w:rPr>
          <w:rFonts w:hint="eastAsia"/>
        </w:rPr>
        <w:t>关于</w:t>
      </w:r>
      <w:r>
        <w:rPr>
          <w:rFonts w:hint="eastAsia"/>
        </w:rPr>
        <w:t>SCPP</w:t>
      </w:r>
      <w:r>
        <w:rPr>
          <w:rFonts w:hint="eastAsia"/>
        </w:rPr>
        <w:t>的研究，本文主要参考了《美国古典语文学期刊》（</w:t>
      </w:r>
      <w:r>
        <w:rPr>
          <w:rFonts w:hint="eastAsia"/>
        </w:rPr>
        <w:t>American Journal of Philology</w:t>
      </w:r>
      <w:r>
        <w:rPr>
          <w:rFonts w:hint="eastAsia"/>
        </w:rPr>
        <w:t>）</w:t>
      </w:r>
      <w:r>
        <w:rPr>
          <w:rFonts w:hint="eastAsia"/>
        </w:rPr>
        <w:t>1999</w:t>
      </w:r>
      <w:r>
        <w:rPr>
          <w:rFonts w:hint="eastAsia"/>
        </w:rPr>
        <w:t>年第</w:t>
      </w:r>
      <w:r>
        <w:rPr>
          <w:rFonts w:hint="eastAsia"/>
        </w:rPr>
        <w:t>120</w:t>
      </w:r>
      <w:r>
        <w:rPr>
          <w:rFonts w:hint="eastAsia"/>
        </w:rPr>
        <w:t>卷第一期特刊中的学术成果。约翰·博得尔（</w:t>
      </w:r>
      <w:r>
        <w:rPr>
          <w:rFonts w:hint="eastAsia"/>
        </w:rPr>
        <w:t>John Bodel</w:t>
      </w:r>
      <w:r>
        <w:rPr>
          <w:rFonts w:hint="eastAsia"/>
        </w:rPr>
        <w:t>）</w:t>
      </w:r>
      <w:r w:rsidRPr="00A00A1F">
        <w:t>对惩罚措施</w:t>
      </w:r>
      <w:r>
        <w:rPr>
          <w:rFonts w:hint="eastAsia"/>
        </w:rPr>
        <w:t>进行了</w:t>
      </w:r>
      <w:r w:rsidRPr="00A00A1F">
        <w:t>细致的分析</w:t>
      </w:r>
      <w:r>
        <w:rPr>
          <w:rFonts w:hint="eastAsia"/>
        </w:rPr>
        <w:t>，</w:t>
      </w:r>
      <w:r w:rsidRPr="00A00A1F">
        <w:t>将</w:t>
      </w:r>
      <w:r w:rsidRPr="00A00A1F">
        <w:t>SCPP</w:t>
      </w:r>
      <w:r w:rsidRPr="00A00A1F">
        <w:t>的惩罚措施置于更广阔的罗马社会史</w:t>
      </w:r>
      <w:r>
        <w:rPr>
          <w:rFonts w:hint="eastAsia"/>
        </w:rPr>
        <w:t>的家族传统</w:t>
      </w:r>
      <w:r w:rsidR="00F451FC">
        <w:rPr>
          <w:rFonts w:hint="eastAsia"/>
        </w:rPr>
        <w:t>和元老院角色的</w:t>
      </w:r>
      <w:r w:rsidRPr="00A00A1F">
        <w:t>背景中</w:t>
      </w:r>
      <w:r>
        <w:rPr>
          <w:rFonts w:hint="eastAsia"/>
        </w:rPr>
        <w:t>考察。</w:t>
      </w:r>
      <w:r>
        <w:rPr>
          <w:rStyle w:val="af6"/>
        </w:rPr>
        <w:footnoteReference w:id="3"/>
      </w:r>
      <w:r>
        <w:rPr>
          <w:rFonts w:hint="eastAsia"/>
        </w:rPr>
        <w:t>波特（</w:t>
      </w:r>
      <w:r>
        <w:rPr>
          <w:rFonts w:hint="eastAsia"/>
        </w:rPr>
        <w:t>D. S. Potter</w:t>
      </w:r>
      <w:r>
        <w:rPr>
          <w:rFonts w:hint="eastAsia"/>
        </w:rPr>
        <w:t>）则</w:t>
      </w:r>
      <w:r w:rsidRPr="00A00A1F">
        <w:t>将</w:t>
      </w:r>
      <w:r w:rsidRPr="00A00A1F">
        <w:t>SCPP</w:t>
      </w:r>
      <w:r>
        <w:rPr>
          <w:rFonts w:hint="eastAsia"/>
        </w:rPr>
        <w:t>作为</w:t>
      </w:r>
      <w:r w:rsidRPr="00A00A1F">
        <w:t>意识形态文本</w:t>
      </w:r>
      <w:r>
        <w:rPr>
          <w:rFonts w:hint="eastAsia"/>
        </w:rPr>
        <w:t>考察，</w:t>
      </w:r>
      <w:r w:rsidRPr="00A00A1F">
        <w:t>他通过</w:t>
      </w:r>
      <w:r>
        <w:rPr>
          <w:rFonts w:hint="eastAsia"/>
        </w:rPr>
        <w:t>对</w:t>
      </w:r>
      <w:r w:rsidRPr="00A00A1F">
        <w:t xml:space="preserve"> “</w:t>
      </w:r>
      <w:r w:rsidRPr="00A00A1F">
        <w:t>动机条款</w:t>
      </w:r>
      <w:r w:rsidRPr="00A00A1F">
        <w:t>”</w:t>
      </w:r>
      <w:r w:rsidRPr="00A00A1F">
        <w:t>传统的梳理，展示了</w:t>
      </w:r>
      <w:r w:rsidRPr="00A00A1F">
        <w:t>SCPP</w:t>
      </w:r>
      <w:r w:rsidRPr="00A00A1F">
        <w:t>如何嵌入希腊</w:t>
      </w:r>
      <w:r w:rsidRPr="00A00A1F">
        <w:t>-</w:t>
      </w:r>
      <w:r w:rsidRPr="00A00A1F">
        <w:t>罗马公文书写的漫长传统中</w:t>
      </w:r>
      <w:r>
        <w:rPr>
          <w:rFonts w:hint="eastAsia"/>
        </w:rPr>
        <w:t>，同时分析了</w:t>
      </w:r>
      <w:r>
        <w:rPr>
          <w:rFonts w:hint="eastAsia"/>
        </w:rPr>
        <w:t>SCPP</w:t>
      </w:r>
      <w:r>
        <w:rPr>
          <w:rFonts w:hint="eastAsia"/>
        </w:rPr>
        <w:t>中美德与内战的书写与政治环境间的关系。</w:t>
      </w:r>
      <w:r>
        <w:rPr>
          <w:rStyle w:val="af6"/>
        </w:rPr>
        <w:footnoteReference w:id="4"/>
      </w:r>
      <w:r>
        <w:rPr>
          <w:rFonts w:hint="eastAsia"/>
        </w:rPr>
        <w:t>理查德·塔尔博特（</w:t>
      </w:r>
      <w:r>
        <w:rPr>
          <w:rFonts w:hint="eastAsia"/>
        </w:rPr>
        <w:t>Richard J. A. Talbert</w:t>
      </w:r>
      <w:r>
        <w:rPr>
          <w:rFonts w:hint="eastAsia"/>
        </w:rPr>
        <w:t>）则聚焦于</w:t>
      </w:r>
      <w:r>
        <w:rPr>
          <w:rFonts w:hint="eastAsia"/>
        </w:rPr>
        <w:t>S</w:t>
      </w:r>
      <w:r w:rsidRPr="00A00A1F">
        <w:t>CPP</w:t>
      </w:r>
      <w:r>
        <w:rPr>
          <w:rFonts w:hint="eastAsia"/>
        </w:rPr>
        <w:t>与</w:t>
      </w:r>
      <w:r w:rsidRPr="00A00A1F">
        <w:t>塔西佗对</w:t>
      </w:r>
      <w:r>
        <w:rPr>
          <w:rFonts w:hint="eastAsia"/>
        </w:rPr>
        <w:t>元老院实录（</w:t>
      </w:r>
      <w:r w:rsidRPr="00A00A1F">
        <w:t>acta senatus</w:t>
      </w:r>
      <w:r>
        <w:rPr>
          <w:rFonts w:hint="eastAsia"/>
        </w:rPr>
        <w:t>）</w:t>
      </w:r>
      <w:r w:rsidRPr="00A00A1F">
        <w:t>的使用</w:t>
      </w:r>
      <w:r>
        <w:rPr>
          <w:rFonts w:hint="eastAsia"/>
        </w:rPr>
        <w:t>、</w:t>
      </w:r>
      <w:r w:rsidRPr="00A00A1F">
        <w:t>公元</w:t>
      </w:r>
      <w:r w:rsidRPr="00A00A1F">
        <w:t>20</w:t>
      </w:r>
      <w:r w:rsidRPr="00A00A1F">
        <w:t>年的年代顺序</w:t>
      </w:r>
      <w:r>
        <w:rPr>
          <w:rFonts w:hint="eastAsia"/>
        </w:rPr>
        <w:t>的扭曲和</w:t>
      </w:r>
      <w:r w:rsidRPr="00A00A1F">
        <w:t>塔西佗的材料选择与焦点与</w:t>
      </w:r>
      <w:r w:rsidRPr="00A00A1F">
        <w:t>SCPP</w:t>
      </w:r>
      <w:r>
        <w:rPr>
          <w:rFonts w:hint="eastAsia"/>
        </w:rPr>
        <w:t>的</w:t>
      </w:r>
      <w:r w:rsidRPr="00A00A1F">
        <w:t>比较</w:t>
      </w:r>
      <w:r>
        <w:rPr>
          <w:rFonts w:hint="eastAsia"/>
        </w:rPr>
        <w:t>，考察了塔西佗的叙事选择</w:t>
      </w:r>
      <w:r w:rsidRPr="00A00A1F">
        <w:t>。</w:t>
      </w:r>
      <w:r>
        <w:rPr>
          <w:rStyle w:val="af6"/>
        </w:rPr>
        <w:footnoteReference w:id="5"/>
      </w:r>
      <w:r>
        <w:rPr>
          <w:rFonts w:hint="eastAsia"/>
        </w:rPr>
        <w:t>辛西娅·达蒙（</w:t>
      </w:r>
      <w:r w:rsidRPr="004E35EC">
        <w:t>Cynthia Damon</w:t>
      </w:r>
      <w:r>
        <w:rPr>
          <w:rFonts w:hint="eastAsia"/>
        </w:rPr>
        <w:t>）则引入了“镜像叙事”（</w:t>
      </w:r>
      <w:r>
        <w:rPr>
          <w:rFonts w:hint="eastAsia"/>
        </w:rPr>
        <w:t>Mirror Story</w:t>
      </w:r>
      <w:r>
        <w:rPr>
          <w:rFonts w:hint="eastAsia"/>
        </w:rPr>
        <w:t>）的结构，</w:t>
      </w:r>
      <w:r w:rsidRPr="004E35EC">
        <w:t>展示了这一结构如何使</w:t>
      </w:r>
      <w:r>
        <w:rPr>
          <w:rFonts w:hint="eastAsia"/>
        </w:rPr>
        <w:t>塔西佗</w:t>
      </w:r>
      <w:r w:rsidRPr="004E35EC">
        <w:t>在保持</w:t>
      </w:r>
      <w:r w:rsidRPr="004E35EC">
        <w:t>“</w:t>
      </w:r>
      <w:r w:rsidRPr="004E35EC">
        <w:t>客观</w:t>
      </w:r>
      <w:r w:rsidRPr="004E35EC">
        <w:t>”</w:t>
      </w:r>
      <w:r w:rsidRPr="004E35EC">
        <w:t>外表的同时传达主观判断。</w:t>
      </w:r>
      <w:r>
        <w:rPr>
          <w:rStyle w:val="af6"/>
        </w:rPr>
        <w:footnoteReference w:id="6"/>
      </w:r>
      <w:r>
        <w:rPr>
          <w:rFonts w:hint="eastAsia"/>
        </w:rPr>
        <w:t>这些成果都从细致的文本分析和古代文献互证入手，探讨了元老院决议和塔西佗文本的异同与互文性，而本文尝试利用新的文本向量化和语境化分析技术，为现存研究提供</w:t>
      </w:r>
      <w:r w:rsidR="00527074">
        <w:rPr>
          <w:rFonts w:hint="eastAsia"/>
        </w:rPr>
        <w:t>量化佐证以及新的视角</w:t>
      </w:r>
      <w:r>
        <w:rPr>
          <w:rFonts w:hint="eastAsia"/>
        </w:rPr>
        <w:t>。</w:t>
      </w:r>
    </w:p>
    <w:p w14:paraId="67A06E7A" w14:textId="479B3D63" w:rsidR="00D749F9" w:rsidRDefault="00771459" w:rsidP="005F3637">
      <w:r>
        <w:tab/>
      </w:r>
      <w:r w:rsidR="00D749F9">
        <w:rPr>
          <w:rFonts w:hint="eastAsia"/>
        </w:rPr>
        <w:t>本文对原始材料的处理利用了</w:t>
      </w:r>
      <w:r w:rsidR="00D749F9">
        <w:rPr>
          <w:rFonts w:hint="eastAsia"/>
        </w:rPr>
        <w:t>Latin BERT</w:t>
      </w:r>
      <w:r w:rsidR="00D749F9">
        <w:rPr>
          <w:rFonts w:hint="eastAsia"/>
        </w:rPr>
        <w:t>语境化语言模型。研究者基于从古典时期到现代新拉丁语的</w:t>
      </w:r>
      <w:r w:rsidR="00D749F9">
        <w:rPr>
          <w:rFonts w:hint="eastAsia"/>
        </w:rPr>
        <w:t>5.611</w:t>
      </w:r>
      <w:r w:rsidR="00D749F9">
        <w:rPr>
          <w:rFonts w:hint="eastAsia"/>
        </w:rPr>
        <w:t>亿词语料，</w:t>
      </w:r>
      <w:r w:rsidR="00D749F9" w:rsidRPr="00D749F9">
        <w:t>采用</w:t>
      </w:r>
      <w:r w:rsidR="00D749F9" w:rsidRPr="00D749F9">
        <w:t>CLTK</w:t>
      </w:r>
      <w:r w:rsidR="00D749F9" w:rsidRPr="00D749F9">
        <w:t>的拉丁语专用分词方法处理附着词素，并学习了一个</w:t>
      </w:r>
      <w:r w:rsidR="00D749F9" w:rsidRPr="00D749F9">
        <w:t>32,895</w:t>
      </w:r>
      <w:r w:rsidR="00D749F9" w:rsidRPr="00D749F9">
        <w:t>个子词类型的</w:t>
      </w:r>
      <w:r w:rsidR="00D749F9" w:rsidRPr="00D749F9">
        <w:t>WordPiece</w:t>
      </w:r>
      <w:r w:rsidR="00D749F9" w:rsidRPr="00D749F9">
        <w:t>分词器，通过子词单元而非完整词形来应对拉丁语的高度屈折变化</w:t>
      </w:r>
      <w:r w:rsidR="00D749F9">
        <w:rPr>
          <w:rFonts w:hint="eastAsia"/>
        </w:rPr>
        <w:t>，获得了这一</w:t>
      </w:r>
      <w:r w:rsidR="00D749F9" w:rsidRPr="00D749F9">
        <w:t>12</w:t>
      </w:r>
      <w:r w:rsidR="00D749F9" w:rsidRPr="00D749F9">
        <w:t>层</w:t>
      </w:r>
      <w:r w:rsidR="00D749F9" w:rsidRPr="00D749F9">
        <w:t>Transformer</w:t>
      </w:r>
      <w:r w:rsidR="00D749F9" w:rsidRPr="00D749F9">
        <w:t>，隐藏层维度</w:t>
      </w:r>
      <w:r w:rsidR="00D749F9" w:rsidRPr="00D749F9">
        <w:t>768</w:t>
      </w:r>
      <w:r w:rsidR="00D749F9" w:rsidRPr="00D749F9">
        <w:t>，采用全词掩码策略，在</w:t>
      </w:r>
      <w:r w:rsidR="00D749F9" w:rsidRPr="00D749F9">
        <w:t>TPU v2</w:t>
      </w:r>
      <w:r w:rsidR="00D749F9" w:rsidRPr="00D749F9">
        <w:t>上训练</w:t>
      </w:r>
      <w:r w:rsidR="00D749F9" w:rsidRPr="00D749F9">
        <w:t>100</w:t>
      </w:r>
      <w:r w:rsidR="00D749F9" w:rsidRPr="00D749F9">
        <w:t>万步</w:t>
      </w:r>
      <w:r w:rsidR="00D749F9">
        <w:rPr>
          <w:rFonts w:hint="eastAsia"/>
        </w:rPr>
        <w:t>的</w:t>
      </w:r>
      <w:r w:rsidR="00D749F9" w:rsidRPr="00D749F9">
        <w:t>模型</w:t>
      </w:r>
      <w:r w:rsidR="00314305">
        <w:rPr>
          <w:rFonts w:hint="eastAsia"/>
        </w:rPr>
        <w:t>。</w:t>
      </w:r>
      <w:r w:rsidR="00D749F9">
        <w:rPr>
          <w:rStyle w:val="af6"/>
        </w:rPr>
        <w:footnoteReference w:id="7"/>
      </w:r>
      <w:r w:rsidR="00314305">
        <w:rPr>
          <w:rFonts w:hint="eastAsia"/>
        </w:rPr>
        <w:t>本文</w:t>
      </w:r>
      <w:r w:rsidR="00DA5EF7">
        <w:rPr>
          <w:rFonts w:hint="eastAsia"/>
        </w:rPr>
        <w:t>铭文数据来源于</w:t>
      </w:r>
      <w:r w:rsidR="00DA5EF7">
        <w:rPr>
          <w:rFonts w:hint="eastAsia"/>
        </w:rPr>
        <w:t>EDCS</w:t>
      </w:r>
      <w:r w:rsidR="00DA5EF7">
        <w:rPr>
          <w:rFonts w:hint="eastAsia"/>
        </w:rPr>
        <w:t>数据库，文献数据来源于佩尔修斯图书馆，进行标点符号和简单大小写数据清理后</w:t>
      </w:r>
      <w:r w:rsidR="0067712F">
        <w:rPr>
          <w:rFonts w:hint="eastAsia"/>
        </w:rPr>
        <w:t>调用</w:t>
      </w:r>
      <w:r w:rsidR="00DA5EF7">
        <w:rPr>
          <w:rFonts w:hint="eastAsia"/>
        </w:rPr>
        <w:t>该模型对四篇语料素材进行了相似度比较、文段聚类、相似段落比对，</w:t>
      </w:r>
      <w:r w:rsidR="0032456B">
        <w:rPr>
          <w:rFonts w:hint="eastAsia"/>
        </w:rPr>
        <w:t>结果如下。</w:t>
      </w:r>
      <w:r w:rsidR="00DA5EF7">
        <w:rPr>
          <w:rStyle w:val="af6"/>
        </w:rPr>
        <w:footnoteReference w:id="8"/>
      </w:r>
      <w:r w:rsidR="00D54452">
        <w:rPr>
          <w:rFonts w:hint="eastAsia"/>
        </w:rPr>
        <w:t>（</w:t>
      </w:r>
      <w:r w:rsidR="00D54452">
        <w:rPr>
          <w:rFonts w:hint="eastAsia"/>
        </w:rPr>
        <w:t xml:space="preserve">SC1 = </w:t>
      </w:r>
      <w:r w:rsidR="00710752">
        <w:rPr>
          <w:rFonts w:hint="eastAsia"/>
        </w:rPr>
        <w:t>里昂铜板，</w:t>
      </w:r>
      <w:r w:rsidR="00710752">
        <w:rPr>
          <w:rFonts w:hint="eastAsia"/>
        </w:rPr>
        <w:t>SC2 = SCPP</w:t>
      </w:r>
      <w:r w:rsidR="00710752">
        <w:rPr>
          <w:rFonts w:hint="eastAsia"/>
        </w:rPr>
        <w:t>，</w:t>
      </w:r>
      <w:r w:rsidR="00710752">
        <w:rPr>
          <w:rFonts w:hint="eastAsia"/>
        </w:rPr>
        <w:t>TAC1 =</w:t>
      </w:r>
      <w:r w:rsidR="00710752">
        <w:rPr>
          <w:rFonts w:hint="eastAsia"/>
        </w:rPr>
        <w:t>《编年史》</w:t>
      </w:r>
      <w:r w:rsidR="00710752">
        <w:rPr>
          <w:rFonts w:hint="eastAsia"/>
        </w:rPr>
        <w:t xml:space="preserve">3.11 </w:t>
      </w:r>
      <w:r w:rsidR="00710752">
        <w:t>–</w:t>
      </w:r>
      <w:r w:rsidR="00710752">
        <w:rPr>
          <w:rFonts w:hint="eastAsia"/>
        </w:rPr>
        <w:t xml:space="preserve"> 12</w:t>
      </w:r>
      <w:r w:rsidR="00710752">
        <w:rPr>
          <w:rFonts w:hint="eastAsia"/>
        </w:rPr>
        <w:t>，</w:t>
      </w:r>
      <w:r w:rsidR="00710752">
        <w:rPr>
          <w:rFonts w:hint="eastAsia"/>
        </w:rPr>
        <w:t xml:space="preserve">TAC2 = </w:t>
      </w:r>
      <w:r w:rsidR="00710752">
        <w:rPr>
          <w:rFonts w:hint="eastAsia"/>
        </w:rPr>
        <w:t>《编年史》</w:t>
      </w:r>
      <w:r w:rsidR="00710752">
        <w:rPr>
          <w:rFonts w:hint="eastAsia"/>
        </w:rPr>
        <w:t xml:space="preserve">3.11 </w:t>
      </w:r>
      <w:r w:rsidR="00710752">
        <w:t>–</w:t>
      </w:r>
      <w:r w:rsidR="00710752">
        <w:rPr>
          <w:rFonts w:hint="eastAsia"/>
        </w:rPr>
        <w:t xml:space="preserve"> 1</w:t>
      </w:r>
      <w:r w:rsidR="00EC5DFF">
        <w:rPr>
          <w:rFonts w:hint="eastAsia"/>
        </w:rPr>
        <w:t>5</w:t>
      </w:r>
      <w:r w:rsidR="00D54452">
        <w:rPr>
          <w:rFonts w:hint="eastAsia"/>
        </w:rPr>
        <w:t>）</w:t>
      </w:r>
    </w:p>
    <w:p w14:paraId="0D08E9A6" w14:textId="22A7B6EB" w:rsidR="004320B7" w:rsidRDefault="0089586E" w:rsidP="004320B7">
      <w:pPr>
        <w:jc w:val="center"/>
      </w:pPr>
      <w:r w:rsidRPr="004320B7">
        <w:rPr>
          <w:noProof/>
        </w:rPr>
        <w:lastRenderedPageBreak/>
        <w:drawing>
          <wp:inline distT="0" distB="0" distL="0" distR="0" wp14:anchorId="172127B8" wp14:editId="30680AF6">
            <wp:extent cx="3456000" cy="3456000"/>
            <wp:effectExtent l="0" t="0" r="0" b="0"/>
            <wp:docPr id="11291661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alphaModFix/>
                      <a:extLst>
                        <a:ext uri="{28A0092B-C50C-407E-A947-70E740481C1C}">
                          <a14:useLocalDpi xmlns:a14="http://schemas.microsoft.com/office/drawing/2010/main" val="0"/>
                        </a:ext>
                      </a:extLst>
                    </a:blip>
                    <a:srcRect/>
                    <a:stretch>
                      <a:fillRect/>
                    </a:stretch>
                  </pic:blipFill>
                  <pic:spPr bwMode="auto">
                    <a:xfrm>
                      <a:off x="0" y="0"/>
                      <a:ext cx="3456000" cy="3456000"/>
                    </a:xfrm>
                    <a:prstGeom prst="rect">
                      <a:avLst/>
                    </a:prstGeom>
                    <a:noFill/>
                    <a:ln>
                      <a:noFill/>
                    </a:ln>
                  </pic:spPr>
                </pic:pic>
              </a:graphicData>
            </a:graphic>
          </wp:inline>
        </w:drawing>
      </w:r>
    </w:p>
    <w:p w14:paraId="2732C2F5" w14:textId="473B7851" w:rsidR="0032456B" w:rsidRDefault="004320B7" w:rsidP="004320B7">
      <w:pPr>
        <w:jc w:val="center"/>
      </w:pPr>
      <w:r>
        <w:rPr>
          <w:rFonts w:hint="eastAsia"/>
        </w:rPr>
        <w:t>图</w:t>
      </w:r>
      <w:r>
        <w:rPr>
          <w:rFonts w:hint="eastAsia"/>
        </w:rPr>
        <w:t xml:space="preserve">1. </w:t>
      </w:r>
      <w:r w:rsidR="0067712F">
        <w:rPr>
          <w:rFonts w:hint="eastAsia"/>
        </w:rPr>
        <w:t>全文</w:t>
      </w:r>
      <w:r>
        <w:rPr>
          <w:rFonts w:hint="eastAsia"/>
        </w:rPr>
        <w:t>相似度</w:t>
      </w:r>
    </w:p>
    <w:p w14:paraId="1A20C42C" w14:textId="74ABCC65" w:rsidR="004320B7" w:rsidRDefault="004320B7" w:rsidP="004320B7">
      <w:pPr>
        <w:ind w:firstLine="420"/>
        <w:jc w:val="center"/>
      </w:pPr>
      <w:r w:rsidRPr="004320B7">
        <w:rPr>
          <w:noProof/>
        </w:rPr>
        <w:drawing>
          <wp:inline distT="0" distB="0" distL="0" distR="0" wp14:anchorId="3EB52120" wp14:editId="64306A39">
            <wp:extent cx="3834000" cy="3351600"/>
            <wp:effectExtent l="0" t="0" r="0" b="1270"/>
            <wp:docPr id="155487970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34000" cy="3351600"/>
                    </a:xfrm>
                    <a:prstGeom prst="rect">
                      <a:avLst/>
                    </a:prstGeom>
                    <a:noFill/>
                    <a:ln>
                      <a:noFill/>
                    </a:ln>
                  </pic:spPr>
                </pic:pic>
              </a:graphicData>
            </a:graphic>
          </wp:inline>
        </w:drawing>
      </w:r>
    </w:p>
    <w:p w14:paraId="2435BE4C" w14:textId="4DC9B34C" w:rsidR="004320B7" w:rsidRDefault="004320B7" w:rsidP="0040711E">
      <w:pPr>
        <w:ind w:firstLine="420"/>
        <w:jc w:val="center"/>
      </w:pPr>
      <w:r>
        <w:rPr>
          <w:rFonts w:hint="eastAsia"/>
        </w:rPr>
        <w:t>图</w:t>
      </w:r>
      <w:r>
        <w:rPr>
          <w:rFonts w:hint="eastAsia"/>
        </w:rPr>
        <w:t xml:space="preserve">2. </w:t>
      </w:r>
      <w:r>
        <w:rPr>
          <w:rFonts w:hint="eastAsia"/>
        </w:rPr>
        <w:t>段落聚类</w:t>
      </w:r>
      <w:r>
        <w:rPr>
          <w:rStyle w:val="af6"/>
        </w:rPr>
        <w:footnoteReference w:id="9"/>
      </w:r>
    </w:p>
    <w:p w14:paraId="597ACC83" w14:textId="4D2C7E07" w:rsidR="009B7BCA" w:rsidRDefault="009B7BCA" w:rsidP="009B7BCA">
      <w:r>
        <w:rPr>
          <w:rFonts w:hint="eastAsia"/>
        </w:rPr>
        <w:lastRenderedPageBreak/>
        <w:t>四、观察诠释</w:t>
      </w:r>
      <w:r w:rsidR="00E13232">
        <w:rPr>
          <w:rFonts w:hint="eastAsia"/>
        </w:rPr>
        <w:t>：塔西佗与</w:t>
      </w:r>
      <w:r w:rsidR="00E13232">
        <w:rPr>
          <w:rFonts w:hint="eastAsia"/>
        </w:rPr>
        <w:t>SCPP</w:t>
      </w:r>
    </w:p>
    <w:p w14:paraId="3FDD76C0" w14:textId="017211EE" w:rsidR="000B2610" w:rsidRDefault="00425705" w:rsidP="006E312E">
      <w:r>
        <w:tab/>
      </w:r>
      <w:r w:rsidR="006E312E">
        <w:rPr>
          <w:rFonts w:hint="eastAsia"/>
        </w:rPr>
        <w:t>从段落级聚类结果来看，文本在语义空间中呈现出较为清晰的二分结构：塔西佗文献（</w:t>
      </w:r>
      <w:r w:rsidR="006E312E">
        <w:rPr>
          <w:rFonts w:hint="eastAsia"/>
        </w:rPr>
        <w:t>TAC</w:t>
      </w:r>
      <w:r w:rsidR="006E312E">
        <w:rPr>
          <w:rFonts w:hint="eastAsia"/>
        </w:rPr>
        <w:t>）与元老院决议铭刻（</w:t>
      </w:r>
      <w:r w:rsidR="006E312E">
        <w:rPr>
          <w:rFonts w:hint="eastAsia"/>
        </w:rPr>
        <w:t>SC</w:t>
      </w:r>
      <w:r w:rsidR="006E312E">
        <w:rPr>
          <w:rFonts w:hint="eastAsia"/>
        </w:rPr>
        <w:t>）整体上分别聚集于</w:t>
      </w:r>
      <w:r w:rsidR="006E312E">
        <w:rPr>
          <w:rFonts w:hint="eastAsia"/>
        </w:rPr>
        <w:t>UMAP</w:t>
      </w:r>
      <w:r w:rsidR="006E312E">
        <w:rPr>
          <w:rFonts w:hint="eastAsia"/>
        </w:rPr>
        <w:t>投影空间的左上区域与右下区域，表明两类文本在语义表示上具有显著的整体可分性。然而，该二分结构并非完全对称。在跨类别关系中，</w:t>
      </w:r>
      <w:r w:rsidR="006E312E">
        <w:rPr>
          <w:rFonts w:hint="eastAsia"/>
        </w:rPr>
        <w:t>TAC1</w:t>
      </w:r>
      <w:r w:rsidR="006E312E">
        <w:rPr>
          <w:rFonts w:hint="eastAsia"/>
        </w:rPr>
        <w:t>与</w:t>
      </w:r>
      <w:r w:rsidR="006E312E">
        <w:rPr>
          <w:rFonts w:hint="eastAsia"/>
        </w:rPr>
        <w:t>SC1</w:t>
      </w:r>
      <w:r w:rsidR="006E312E">
        <w:rPr>
          <w:rFonts w:hint="eastAsia"/>
        </w:rPr>
        <w:t>之间的距离明显大于</w:t>
      </w:r>
      <w:r w:rsidR="006E312E">
        <w:rPr>
          <w:rFonts w:hint="eastAsia"/>
        </w:rPr>
        <w:t>TAC2</w:t>
      </w:r>
      <w:r w:rsidR="006E312E">
        <w:rPr>
          <w:rFonts w:hint="eastAsia"/>
        </w:rPr>
        <w:t>与</w:t>
      </w:r>
      <w:r w:rsidR="006E312E">
        <w:rPr>
          <w:rFonts w:hint="eastAsia"/>
        </w:rPr>
        <w:t>SC2</w:t>
      </w:r>
      <w:r w:rsidR="006E312E">
        <w:rPr>
          <w:rFonts w:hint="eastAsia"/>
        </w:rPr>
        <w:t>之间的距离，显示出不同子语料在语义接近程度上的差异性。需要指出的是，</w:t>
      </w:r>
      <w:r w:rsidR="006E312E">
        <w:rPr>
          <w:rFonts w:hint="eastAsia"/>
        </w:rPr>
        <w:t>UMAP</w:t>
      </w:r>
      <w:r w:rsidR="006E312E">
        <w:rPr>
          <w:rFonts w:hint="eastAsia"/>
        </w:rPr>
        <w:t>可视化主要反映局部邻域结构，其二维空间中的几何距离并不严格等价于原始高维嵌入空间中的语义距离，因此应根据全文级别余弦相似度分析综合考虑，认为</w:t>
      </w:r>
      <w:r w:rsidR="006E312E">
        <w:rPr>
          <w:rFonts w:hint="eastAsia"/>
        </w:rPr>
        <w:t>TAC</w:t>
      </w:r>
      <w:r w:rsidR="007E57F3">
        <w:rPr>
          <w:rFonts w:hint="eastAsia"/>
        </w:rPr>
        <w:t>2</w:t>
      </w:r>
      <w:r w:rsidR="006E312E">
        <w:rPr>
          <w:rFonts w:hint="eastAsia"/>
        </w:rPr>
        <w:t>与</w:t>
      </w:r>
      <w:r w:rsidR="006E312E">
        <w:rPr>
          <w:rFonts w:hint="eastAsia"/>
        </w:rPr>
        <w:t>SC</w:t>
      </w:r>
      <w:r w:rsidR="007E57F3">
        <w:rPr>
          <w:rFonts w:hint="eastAsia"/>
        </w:rPr>
        <w:t>2</w:t>
      </w:r>
      <w:r w:rsidR="006E312E">
        <w:rPr>
          <w:rFonts w:hint="eastAsia"/>
        </w:rPr>
        <w:t>的相似度（</w:t>
      </w:r>
      <w:r w:rsidR="006E312E">
        <w:rPr>
          <w:rFonts w:hint="eastAsia"/>
        </w:rPr>
        <w:t>0.9</w:t>
      </w:r>
      <w:r w:rsidR="007E57F3">
        <w:rPr>
          <w:rFonts w:hint="eastAsia"/>
        </w:rPr>
        <w:t>5</w:t>
      </w:r>
      <w:r w:rsidR="006E312E">
        <w:rPr>
          <w:rFonts w:hint="eastAsia"/>
        </w:rPr>
        <w:t>）显著</w:t>
      </w:r>
      <w:r w:rsidR="007E57F3">
        <w:rPr>
          <w:rFonts w:hint="eastAsia"/>
        </w:rPr>
        <w:t>低</w:t>
      </w:r>
      <w:r w:rsidR="006E312E">
        <w:rPr>
          <w:rFonts w:hint="eastAsia"/>
        </w:rPr>
        <w:t>于</w:t>
      </w:r>
      <w:r w:rsidR="006E312E">
        <w:rPr>
          <w:rFonts w:hint="eastAsia"/>
        </w:rPr>
        <w:t>TAC</w:t>
      </w:r>
      <w:r w:rsidR="007E57F3">
        <w:rPr>
          <w:rFonts w:hint="eastAsia"/>
        </w:rPr>
        <w:t>1</w:t>
      </w:r>
      <w:r w:rsidR="006E312E">
        <w:rPr>
          <w:rFonts w:hint="eastAsia"/>
        </w:rPr>
        <w:t>与</w:t>
      </w:r>
      <w:r w:rsidR="006E312E">
        <w:rPr>
          <w:rFonts w:hint="eastAsia"/>
        </w:rPr>
        <w:t>SC</w:t>
      </w:r>
      <w:r w:rsidR="007E57F3">
        <w:rPr>
          <w:rFonts w:hint="eastAsia"/>
        </w:rPr>
        <w:t>1</w:t>
      </w:r>
      <w:r w:rsidR="006E312E">
        <w:rPr>
          <w:rFonts w:hint="eastAsia"/>
        </w:rPr>
        <w:t>（</w:t>
      </w:r>
      <w:r w:rsidR="006E312E">
        <w:rPr>
          <w:rFonts w:hint="eastAsia"/>
        </w:rPr>
        <w:t>0.9</w:t>
      </w:r>
      <w:r w:rsidR="007E57F3">
        <w:rPr>
          <w:rFonts w:hint="eastAsia"/>
        </w:rPr>
        <w:t>8</w:t>
      </w:r>
      <w:r w:rsidR="006E312E">
        <w:rPr>
          <w:rFonts w:hint="eastAsia"/>
        </w:rPr>
        <w:t>）</w:t>
      </w:r>
      <w:r w:rsidR="007E57F3">
        <w:rPr>
          <w:rFonts w:hint="eastAsia"/>
        </w:rPr>
        <w:t>，甚至低于</w:t>
      </w:r>
      <w:r w:rsidR="00781E3E">
        <w:rPr>
          <w:rFonts w:hint="eastAsia"/>
        </w:rPr>
        <w:t>不同类型、不同主题的</w:t>
      </w:r>
      <w:r w:rsidR="003D320B">
        <w:rPr>
          <w:rFonts w:hint="eastAsia"/>
        </w:rPr>
        <w:t>文本的相互比较</w:t>
      </w:r>
      <w:r w:rsidR="00781E3E">
        <w:rPr>
          <w:rFonts w:hint="eastAsia"/>
        </w:rPr>
        <w:t>（</w:t>
      </w:r>
      <w:r w:rsidR="00781E3E">
        <w:rPr>
          <w:rFonts w:hint="eastAsia"/>
        </w:rPr>
        <w:t>SC1-TAC2 0.95</w:t>
      </w:r>
      <w:r w:rsidR="00781E3E">
        <w:rPr>
          <w:rFonts w:hint="eastAsia"/>
        </w:rPr>
        <w:t>，</w:t>
      </w:r>
      <w:r w:rsidR="00781E3E">
        <w:rPr>
          <w:rFonts w:hint="eastAsia"/>
        </w:rPr>
        <w:t>SC2-TAC1 0.96</w:t>
      </w:r>
      <w:r w:rsidR="00781E3E">
        <w:rPr>
          <w:rFonts w:hint="eastAsia"/>
        </w:rPr>
        <w:t>）</w:t>
      </w:r>
      <w:r w:rsidR="006E312E">
        <w:rPr>
          <w:rFonts w:hint="eastAsia"/>
        </w:rPr>
        <w:t>。</w:t>
      </w:r>
    </w:p>
    <w:p w14:paraId="0B45A096" w14:textId="5D308450" w:rsidR="005F5EF6" w:rsidRDefault="005F5EF6" w:rsidP="00AB563B">
      <w:r>
        <w:tab/>
      </w:r>
      <w:r w:rsidR="00AB563B">
        <w:rPr>
          <w:rFonts w:hint="eastAsia"/>
        </w:rPr>
        <w:t>然而，</w:t>
      </w:r>
      <w:r>
        <w:rPr>
          <w:rFonts w:hint="eastAsia"/>
        </w:rPr>
        <w:t>借助相似段落比对，可以发现</w:t>
      </w:r>
      <w:r>
        <w:rPr>
          <w:rFonts w:hint="eastAsia"/>
        </w:rPr>
        <w:t>SC2</w:t>
      </w:r>
      <w:r>
        <w:rPr>
          <w:rFonts w:hint="eastAsia"/>
        </w:rPr>
        <w:t>与</w:t>
      </w:r>
      <w:r>
        <w:rPr>
          <w:rFonts w:hint="eastAsia"/>
        </w:rPr>
        <w:t>TAC2</w:t>
      </w:r>
      <w:r w:rsidR="00725A43">
        <w:rPr>
          <w:rFonts w:hint="eastAsia"/>
        </w:rPr>
        <w:t>部分段落的</w:t>
      </w:r>
      <w:r>
        <w:rPr>
          <w:rFonts w:hint="eastAsia"/>
        </w:rPr>
        <w:t>相似度并不低，段间相似度排名前十名中的第</w:t>
      </w:r>
      <w:r>
        <w:rPr>
          <w:rFonts w:hint="eastAsia"/>
        </w:rPr>
        <w:t>1</w:t>
      </w:r>
      <w:r>
        <w:rPr>
          <w:rFonts w:hint="eastAsia"/>
        </w:rPr>
        <w:t>，</w:t>
      </w:r>
      <w:r>
        <w:rPr>
          <w:rFonts w:hint="eastAsia"/>
        </w:rPr>
        <w:t>2</w:t>
      </w:r>
      <w:r>
        <w:rPr>
          <w:rFonts w:hint="eastAsia"/>
        </w:rPr>
        <w:t>，</w:t>
      </w:r>
      <w:r>
        <w:rPr>
          <w:rFonts w:hint="eastAsia"/>
        </w:rPr>
        <w:t>5</w:t>
      </w:r>
      <w:r>
        <w:rPr>
          <w:rFonts w:hint="eastAsia"/>
        </w:rPr>
        <w:t>，</w:t>
      </w:r>
      <w:r>
        <w:rPr>
          <w:rFonts w:hint="eastAsia"/>
        </w:rPr>
        <w:t>6</w:t>
      </w:r>
      <w:r>
        <w:rPr>
          <w:rFonts w:hint="eastAsia"/>
        </w:rPr>
        <w:t>，</w:t>
      </w:r>
      <w:r>
        <w:rPr>
          <w:rFonts w:hint="eastAsia"/>
        </w:rPr>
        <w:t>8</w:t>
      </w:r>
      <w:r>
        <w:rPr>
          <w:rFonts w:hint="eastAsia"/>
        </w:rPr>
        <w:t>，</w:t>
      </w:r>
      <w:r>
        <w:rPr>
          <w:rFonts w:hint="eastAsia"/>
        </w:rPr>
        <w:t>9</w:t>
      </w:r>
      <w:r>
        <w:rPr>
          <w:rFonts w:hint="eastAsia"/>
        </w:rPr>
        <w:t>位</w:t>
      </w:r>
      <w:r w:rsidR="00725A43">
        <w:rPr>
          <w:rFonts w:hint="eastAsia"/>
        </w:rPr>
        <w:t>均</w:t>
      </w:r>
      <w:r>
        <w:rPr>
          <w:rFonts w:hint="eastAsia"/>
        </w:rPr>
        <w:t>来自</w:t>
      </w:r>
      <w:r>
        <w:rPr>
          <w:rFonts w:hint="eastAsia"/>
        </w:rPr>
        <w:t>TAC2</w:t>
      </w:r>
      <w:r>
        <w:rPr>
          <w:rFonts w:hint="eastAsia"/>
        </w:rPr>
        <w:t>中的同一个分段</w:t>
      </w:r>
      <w:r w:rsidR="000D0947">
        <w:rPr>
          <w:rFonts w:hint="eastAsia"/>
        </w:rPr>
        <w:t>：</w:t>
      </w:r>
    </w:p>
    <w:p w14:paraId="50A36D25" w14:textId="5E8866F6" w:rsidR="005F5EF6" w:rsidRDefault="005F5EF6" w:rsidP="000D0947">
      <w:pPr>
        <w:pStyle w:val="a7"/>
        <w:ind w:leftChars="200" w:left="440" w:rightChars="200" w:right="440"/>
        <w:jc w:val="left"/>
      </w:pPr>
      <w:r>
        <w:tab/>
      </w:r>
      <w:r w:rsidR="00725A43" w:rsidRPr="00725A43">
        <w:rPr>
          <w:rFonts w:hint="eastAsia"/>
        </w:rPr>
        <w:t>“</w:t>
      </w:r>
      <w:r w:rsidR="00725A43" w:rsidRPr="00725A43">
        <w:rPr>
          <w:rFonts w:hint="eastAsia"/>
        </w:rPr>
        <w:t>...</w:t>
      </w:r>
      <w:r w:rsidR="00725A43" w:rsidRPr="00725A43">
        <w:t>Pisonem vulgus militum per licentiam et sociorum iniurias eo usque conrupisse ut parens legionum a deterrimis appellaretur; contra in optimum quemque, maxime in comites et amicos Germanici saevisse; postremo ipsum</w:t>
      </w:r>
      <w:r w:rsidR="00725A43">
        <w:t>…</w:t>
      </w:r>
      <w:r w:rsidR="00725A43" w:rsidRPr="00725A43">
        <w:rPr>
          <w:rFonts w:hint="eastAsia"/>
        </w:rPr>
        <w:t>”</w:t>
      </w:r>
    </w:p>
    <w:p w14:paraId="64BFA7E6" w14:textId="385F8279" w:rsidR="00725A43" w:rsidRDefault="00725A43" w:rsidP="000D0947">
      <w:pPr>
        <w:pStyle w:val="a7"/>
        <w:ind w:leftChars="200" w:left="440" w:rightChars="200" w:right="440"/>
        <w:jc w:val="left"/>
      </w:pPr>
      <w:r>
        <w:tab/>
      </w:r>
      <w:r>
        <w:rPr>
          <w:rFonts w:hint="eastAsia"/>
        </w:rPr>
        <w:t>“</w:t>
      </w:r>
      <w:r w:rsidR="00DE3CA0">
        <w:rPr>
          <w:rFonts w:hint="eastAsia"/>
        </w:rPr>
        <w:t>皮索通过侵害同盟者以及放纵</w:t>
      </w:r>
      <w:r>
        <w:rPr>
          <w:rFonts w:hint="eastAsia"/>
        </w:rPr>
        <w:t>腐蚀了普通士兵，以至于</w:t>
      </w:r>
      <w:r w:rsidR="00DE3CA0">
        <w:rPr>
          <w:rFonts w:hint="eastAsia"/>
        </w:rPr>
        <w:t>他被最坏的人称为军团之父；他残酷对待每一个好人，尤其针对日耳曼尼库斯的同伴和朋友们；他亲自</w:t>
      </w:r>
      <w:r w:rsidR="00DE3CA0">
        <w:t>…</w:t>
      </w:r>
      <w:r>
        <w:rPr>
          <w:rFonts w:hint="eastAsia"/>
        </w:rPr>
        <w:t>”</w:t>
      </w:r>
    </w:p>
    <w:p w14:paraId="687BFB8B" w14:textId="334F0FE9" w:rsidR="00A963CD" w:rsidRDefault="00A12B26" w:rsidP="006E312E">
      <w:r>
        <w:rPr>
          <w:rFonts w:hint="eastAsia"/>
        </w:rPr>
        <w:t>与之对应的</w:t>
      </w:r>
      <w:r>
        <w:rPr>
          <w:rFonts w:hint="eastAsia"/>
        </w:rPr>
        <w:t>SCPP</w:t>
      </w:r>
      <w:r>
        <w:rPr>
          <w:rFonts w:hint="eastAsia"/>
        </w:rPr>
        <w:t>段落，主要来自于关于皮索的罪行、树立的不良榜样、日耳曼尼库斯遭受的不公等等，</w:t>
      </w:r>
      <w:r w:rsidR="00A963CD">
        <w:rPr>
          <w:rFonts w:hint="eastAsia"/>
        </w:rPr>
        <w:t>这些都是元老院决议中列出的主要罪名之一。拿相似度最高的一对举例，</w:t>
      </w:r>
      <w:r w:rsidR="00A963CD">
        <w:rPr>
          <w:rFonts w:hint="eastAsia"/>
        </w:rPr>
        <w:t>SCPP</w:t>
      </w:r>
      <w:r w:rsidR="00A963CD">
        <w:rPr>
          <w:rFonts w:hint="eastAsia"/>
        </w:rPr>
        <w:t>中的文段是：</w:t>
      </w:r>
    </w:p>
    <w:p w14:paraId="4D805606" w14:textId="1AD55617" w:rsidR="00A963CD" w:rsidRPr="003C0DC8" w:rsidRDefault="00A963CD" w:rsidP="003C0DC8">
      <w:pPr>
        <w:pStyle w:val="a7"/>
        <w:ind w:leftChars="200" w:left="440" w:rightChars="200" w:right="440"/>
        <w:jc w:val="left"/>
      </w:pPr>
      <w:r w:rsidRPr="003C0DC8">
        <w:rPr>
          <w:rFonts w:hint="eastAsia"/>
        </w:rPr>
        <w:t>“</w:t>
      </w:r>
      <w:r w:rsidR="003C0DC8" w:rsidRPr="003C0DC8">
        <w:t>…</w:t>
      </w:r>
      <w:r w:rsidR="003C0DC8" w:rsidRPr="003C0DC8">
        <w:rPr>
          <w:rFonts w:hint="eastAsia"/>
        </w:rPr>
        <w:t xml:space="preserve"> et </w:t>
      </w:r>
      <w:r w:rsidR="002B68E0">
        <w:rPr>
          <w:rFonts w:hint="eastAsia"/>
        </w:rPr>
        <w:t>G</w:t>
      </w:r>
      <w:r w:rsidRPr="00A963CD">
        <w:t xml:space="preserve">naei </w:t>
      </w:r>
      <w:r w:rsidR="002B68E0">
        <w:rPr>
          <w:rFonts w:hint="eastAsia"/>
        </w:rPr>
        <w:t>P</w:t>
      </w:r>
      <w:r w:rsidRPr="00A963CD">
        <w:t>isonis patris ab semet ipsa accensa esset regi tamen exemplo equestris ordinis a principe nostro sit item senatum probare eorum militum fidem quorum animi frustra sollicitati essent scelere gnaei</w:t>
      </w:r>
      <w:r w:rsidR="002B68E0">
        <w:rPr>
          <w:rFonts w:hint="eastAsia"/>
        </w:rPr>
        <w:t xml:space="preserve"> (</w:t>
      </w:r>
      <w:r w:rsidR="002B68E0">
        <w:t>Pisoni</w:t>
      </w:r>
      <w:r w:rsidR="002B68E0">
        <w:rPr>
          <w:rFonts w:hint="eastAsia"/>
        </w:rPr>
        <w:t>s patris)</w:t>
      </w:r>
      <w:r w:rsidR="003C0DC8" w:rsidRPr="003C0DC8">
        <w:rPr>
          <w:rFonts w:hint="eastAsia"/>
        </w:rPr>
        <w:t>”</w:t>
      </w:r>
    </w:p>
    <w:p w14:paraId="39C8EA7D" w14:textId="45D0BA50" w:rsidR="003C0DC8" w:rsidRDefault="003C0DC8" w:rsidP="003C0DC8">
      <w:pPr>
        <w:pStyle w:val="a7"/>
        <w:ind w:leftChars="200" w:left="440" w:rightChars="200" w:right="440"/>
        <w:jc w:val="left"/>
      </w:pPr>
      <w:r w:rsidRPr="003C0DC8">
        <w:rPr>
          <w:rFonts w:hint="eastAsia"/>
        </w:rPr>
        <w:t>“（</w:t>
      </w:r>
      <w:r w:rsidRPr="003C0DC8">
        <w:t>平民）虽然曾因自身对惩处格奈乌斯</w:t>
      </w:r>
      <w:r w:rsidRPr="003C0DC8">
        <w:t>·</w:t>
      </w:r>
      <w:r w:rsidRPr="003C0DC8">
        <w:t>皮索之父的极其热烈的情绪而被点燃，然而，在我们元首的约束下，他们仍以骑士阶层为榜样而得以安守秩序；同样，元老院也认可那些士兵的忠诚</w:t>
      </w:r>
      <w:r w:rsidRPr="003C0DC8">
        <w:t>——</w:t>
      </w:r>
      <w:r w:rsidRPr="003C0DC8">
        <w:t>他们的心志曾为格奈乌斯</w:t>
      </w:r>
      <w:r w:rsidRPr="003C0DC8">
        <w:t>·</w:t>
      </w:r>
      <w:r w:rsidRPr="003C0DC8">
        <w:t>皮索之父的罪行所徒劳地诱惑而动摇过。</w:t>
      </w:r>
      <w:r w:rsidRPr="003C0DC8">
        <w:rPr>
          <w:rFonts w:hint="eastAsia"/>
        </w:rPr>
        <w:t>”</w:t>
      </w:r>
    </w:p>
    <w:p w14:paraId="1F568822" w14:textId="6FA5B4A1" w:rsidR="003904FC" w:rsidRDefault="002B68E0" w:rsidP="006E312E">
      <w:r>
        <w:rPr>
          <w:rFonts w:hint="eastAsia"/>
        </w:rPr>
        <w:t>可以见到，</w:t>
      </w:r>
      <w:r w:rsidR="000541D2">
        <w:rPr>
          <w:rFonts w:hint="eastAsia"/>
        </w:rPr>
        <w:t>二者都涉及了士兵及其动摇、皮索对士兵的腐化的主体，在</w:t>
      </w:r>
      <w:r w:rsidR="000541D2">
        <w:rPr>
          <w:rFonts w:hint="eastAsia"/>
        </w:rPr>
        <w:t>Latin BERT</w:t>
      </w:r>
      <w:r w:rsidR="000541D2">
        <w:rPr>
          <w:rFonts w:hint="eastAsia"/>
        </w:rPr>
        <w:t>的向量化处理中，对齐为了“军事纪律”和“罪行与敌意”的概念网络。</w:t>
      </w:r>
      <w:r w:rsidR="00A80105">
        <w:rPr>
          <w:rFonts w:hint="eastAsia"/>
        </w:rPr>
        <w:t>同时，</w:t>
      </w:r>
      <w:r w:rsidR="00A963CD">
        <w:rPr>
          <w:rFonts w:hint="eastAsia"/>
        </w:rPr>
        <w:t>这个文段在</w:t>
      </w:r>
      <w:r w:rsidR="00A963CD">
        <w:rPr>
          <w:rFonts w:hint="eastAsia"/>
        </w:rPr>
        <w:t>UMAP</w:t>
      </w:r>
      <w:r w:rsidR="00A963CD">
        <w:rPr>
          <w:rFonts w:hint="eastAsia"/>
        </w:rPr>
        <w:t>中（</w:t>
      </w:r>
      <w:r w:rsidR="00A963CD" w:rsidRPr="00A963CD">
        <w:t>10.9</w:t>
      </w:r>
      <w:r w:rsidR="00A963CD">
        <w:rPr>
          <w:rFonts w:hint="eastAsia"/>
        </w:rPr>
        <w:t>，</w:t>
      </w:r>
      <w:r w:rsidR="00A963CD" w:rsidRPr="00A963CD">
        <w:t>8.0</w:t>
      </w:r>
      <w:r w:rsidR="00A963CD">
        <w:rPr>
          <w:rFonts w:hint="eastAsia"/>
        </w:rPr>
        <w:t>）也是脱离了</w:t>
      </w:r>
      <w:r w:rsidR="00A963CD">
        <w:rPr>
          <w:rFonts w:hint="eastAsia"/>
        </w:rPr>
        <w:t>TAC2</w:t>
      </w:r>
      <w:r w:rsidR="00A963CD">
        <w:rPr>
          <w:rFonts w:hint="eastAsia"/>
        </w:rPr>
        <w:t>主簇，与</w:t>
      </w:r>
      <w:r w:rsidR="00A963CD">
        <w:rPr>
          <w:rFonts w:hint="eastAsia"/>
        </w:rPr>
        <w:t>SC2</w:t>
      </w:r>
      <w:r w:rsidR="00A963CD">
        <w:rPr>
          <w:rFonts w:hint="eastAsia"/>
        </w:rPr>
        <w:t>最接近的一个散点</w:t>
      </w:r>
      <w:r w:rsidR="006334B8">
        <w:rPr>
          <w:rFonts w:hint="eastAsia"/>
        </w:rPr>
        <w:t>，可见塔西佗的历史书写中与元老院材料的语义重叠度并不低，这也映证了关于塔西佗对元</w:t>
      </w:r>
      <w:r w:rsidR="006334B8">
        <w:rPr>
          <w:rFonts w:hint="eastAsia"/>
        </w:rPr>
        <w:lastRenderedPageBreak/>
        <w:t>老院材料（</w:t>
      </w:r>
      <w:r w:rsidR="006334B8">
        <w:rPr>
          <w:rFonts w:hint="eastAsia"/>
        </w:rPr>
        <w:t>SCPP</w:t>
      </w:r>
      <w:r w:rsidR="006334B8">
        <w:rPr>
          <w:rFonts w:hint="eastAsia"/>
        </w:rPr>
        <w:t>以及元老院实录）的使用的肯定观点</w:t>
      </w:r>
      <w:r w:rsidR="00A963CD">
        <w:rPr>
          <w:rFonts w:hint="eastAsia"/>
        </w:rPr>
        <w:t>。</w:t>
      </w:r>
      <w:r w:rsidR="006334B8">
        <w:rPr>
          <w:rStyle w:val="af6"/>
        </w:rPr>
        <w:footnoteReference w:id="10"/>
      </w:r>
      <w:r w:rsidR="001A7258">
        <w:rPr>
          <w:rStyle w:val="af6"/>
        </w:rPr>
        <w:footnoteReference w:id="11"/>
      </w:r>
    </w:p>
    <w:p w14:paraId="3095BE2F" w14:textId="2D50936C" w:rsidR="0099503F" w:rsidRDefault="001A7258" w:rsidP="006E312E">
      <w:r>
        <w:tab/>
      </w:r>
      <w:r w:rsidR="007E57F3">
        <w:rPr>
          <w:rFonts w:hint="eastAsia"/>
        </w:rPr>
        <w:t>然而，二者的全文相似度却</w:t>
      </w:r>
      <w:r w:rsidR="007802F4">
        <w:rPr>
          <w:rFonts w:hint="eastAsia"/>
        </w:rPr>
        <w:t>相对较</w:t>
      </w:r>
      <w:r w:rsidR="006C5848">
        <w:rPr>
          <w:rFonts w:hint="eastAsia"/>
        </w:rPr>
        <w:t>低</w:t>
      </w:r>
      <w:r w:rsidR="0077009E">
        <w:rPr>
          <w:rFonts w:hint="eastAsia"/>
        </w:rPr>
        <w:t>。原因一方面是</w:t>
      </w:r>
      <w:r w:rsidR="0077009E">
        <w:rPr>
          <w:rFonts w:hint="eastAsia"/>
        </w:rPr>
        <w:t>SCPP</w:t>
      </w:r>
      <w:r w:rsidR="0077009E">
        <w:rPr>
          <w:rFonts w:hint="eastAsia"/>
        </w:rPr>
        <w:t>的内容，塔西佗并未完全收录，就皮索的惩罚而言，</w:t>
      </w:r>
      <w:r w:rsidR="001C0B4A">
        <w:rPr>
          <w:rFonts w:hint="eastAsia"/>
        </w:rPr>
        <w:t>塔西佗只提及了财产没收和除名两项；就皮索的罪行而言，塔西佗略去了</w:t>
      </w:r>
      <w:r w:rsidR="001C0B4A">
        <w:rPr>
          <w:rFonts w:hint="eastAsia"/>
        </w:rPr>
        <w:t>SCPP</w:t>
      </w:r>
      <w:r w:rsidR="001C0B4A">
        <w:rPr>
          <w:rFonts w:hint="eastAsia"/>
        </w:rPr>
        <w:t>中提及的皮索以自己的名义发放军饷、离开叙利亚时的“恶劣意图和榜样”</w:t>
      </w:r>
      <w:r w:rsidR="00227244">
        <w:rPr>
          <w:rFonts w:hint="eastAsia"/>
        </w:rPr>
        <w:t>（</w:t>
      </w:r>
      <w:r w:rsidR="00227244" w:rsidRPr="00227244">
        <w:t>pessumo et animo et exemplo</w:t>
      </w:r>
      <w:r w:rsidR="00227244">
        <w:rPr>
          <w:rFonts w:hint="eastAsia"/>
        </w:rPr>
        <w:t>）</w:t>
      </w:r>
      <w:r w:rsidR="001C0B4A">
        <w:rPr>
          <w:rFonts w:hint="eastAsia"/>
        </w:rPr>
        <w:t>、</w:t>
      </w:r>
      <w:r w:rsidR="00227244">
        <w:rPr>
          <w:rFonts w:hint="eastAsia"/>
        </w:rPr>
        <w:t>对东方边境战争的详细策划等等</w:t>
      </w:r>
      <w:r w:rsidR="009B4C4B">
        <w:rPr>
          <w:rFonts w:hint="eastAsia"/>
        </w:rPr>
        <w:t>；</w:t>
      </w:r>
      <w:r w:rsidR="00227244">
        <w:rPr>
          <w:rFonts w:hint="eastAsia"/>
        </w:rPr>
        <w:t>同时，</w:t>
      </w:r>
      <w:r w:rsidR="001C0B4A">
        <w:rPr>
          <w:rFonts w:hint="eastAsia"/>
        </w:rPr>
        <w:t>SCPP</w:t>
      </w:r>
      <w:r w:rsidR="001C0B4A">
        <w:rPr>
          <w:rFonts w:hint="eastAsia"/>
        </w:rPr>
        <w:t>没有提及关于毒杀的任何指控，</w:t>
      </w:r>
      <w:r w:rsidR="00FD3848">
        <w:rPr>
          <w:rFonts w:hint="eastAsia"/>
        </w:rPr>
        <w:t>但</w:t>
      </w:r>
      <w:r w:rsidR="001C0B4A">
        <w:rPr>
          <w:rFonts w:hint="eastAsia"/>
        </w:rPr>
        <w:t>塔西佗却花费了</w:t>
      </w:r>
      <w:r w:rsidR="00FD3848">
        <w:rPr>
          <w:rFonts w:hint="eastAsia"/>
        </w:rPr>
        <w:t>许多</w:t>
      </w:r>
      <w:r w:rsidR="001C0B4A">
        <w:rPr>
          <w:rFonts w:hint="eastAsia"/>
        </w:rPr>
        <w:t>的笔墨探讨关于人民中毒杀谣言的流传、毒杀指控的提出、对毒杀指控成立与否的考虑。</w:t>
      </w:r>
      <w:r w:rsidR="007802F4">
        <w:rPr>
          <w:rFonts w:hint="eastAsia"/>
        </w:rPr>
        <w:t>达蒙通过与塔西佗《编年史》第二卷的“镜像叙事”比对，认为</w:t>
      </w:r>
      <w:r w:rsidR="00373774">
        <w:rPr>
          <w:rFonts w:hint="eastAsia"/>
        </w:rPr>
        <w:t>SCPP</w:t>
      </w:r>
      <w:r w:rsidR="00373774">
        <w:rPr>
          <w:rFonts w:hint="eastAsia"/>
        </w:rPr>
        <w:t>将皮索的僭越行为归为其个人道德的败坏与野心，使得元老院和提比略得以撇清自己的责任，而塔西佗则通过对元老院材料的拣择、对流言和未载入公文的其它史料的囊括，塑造了一个忠于提比略而构陷日耳曼尼库斯的皮索形象，为对提比略伪善的怀疑留下了缺口。</w:t>
      </w:r>
      <w:r w:rsidR="001741A0">
        <w:rPr>
          <w:rFonts w:hint="eastAsia"/>
        </w:rPr>
        <w:t>（而这本身也在《编年史》</w:t>
      </w:r>
      <w:r w:rsidR="001741A0">
        <w:rPr>
          <w:rFonts w:hint="eastAsia"/>
        </w:rPr>
        <w:t>3.16</w:t>
      </w:r>
      <w:r w:rsidR="001741A0">
        <w:rPr>
          <w:rFonts w:hint="eastAsia"/>
        </w:rPr>
        <w:t>皮索所写的笔记中得到了映证）</w:t>
      </w:r>
      <w:r w:rsidR="004E48E6">
        <w:rPr>
          <w:rStyle w:val="af6"/>
        </w:rPr>
        <w:footnoteReference w:id="12"/>
      </w:r>
      <w:r w:rsidR="00EB75EA">
        <w:rPr>
          <w:rFonts w:hint="eastAsia"/>
        </w:rPr>
        <w:t>不过，需要注意的是，这并不代表塔西佗赞成日耳曼尼库斯就是被毒死的，而更多属于叙事技巧安排下的多重解读可能。</w:t>
      </w:r>
      <w:r w:rsidR="004E48E6">
        <w:rPr>
          <w:rFonts w:hint="eastAsia"/>
        </w:rPr>
        <w:t>另外一则</w:t>
      </w:r>
      <w:r w:rsidR="002D6C66">
        <w:rPr>
          <w:rFonts w:hint="eastAsia"/>
        </w:rPr>
        <w:t>UMAP</w:t>
      </w:r>
      <w:r w:rsidR="002D6C66">
        <w:rPr>
          <w:rFonts w:hint="eastAsia"/>
        </w:rPr>
        <w:t>上</w:t>
      </w:r>
      <w:r w:rsidR="004E48E6">
        <w:rPr>
          <w:rFonts w:hint="eastAsia"/>
        </w:rPr>
        <w:t>脱离了</w:t>
      </w:r>
      <w:r w:rsidR="00C16927">
        <w:rPr>
          <w:rFonts w:hint="eastAsia"/>
        </w:rPr>
        <w:t>主簇的文本</w:t>
      </w:r>
      <w:r w:rsidR="002D6C66">
        <w:rPr>
          <w:rFonts w:hint="eastAsia"/>
        </w:rPr>
        <w:t>（</w:t>
      </w:r>
      <w:r w:rsidR="002D6C66" w:rsidRPr="002D6C66">
        <w:t>9.</w:t>
      </w:r>
      <w:r w:rsidR="002D6C66">
        <w:rPr>
          <w:rFonts w:hint="eastAsia"/>
        </w:rPr>
        <w:t>2</w:t>
      </w:r>
      <w:r w:rsidR="002D6C66">
        <w:rPr>
          <w:rFonts w:hint="eastAsia"/>
        </w:rPr>
        <w:t>，</w:t>
      </w:r>
      <w:r w:rsidR="002D6C66" w:rsidRPr="002D6C66">
        <w:t>12.</w:t>
      </w:r>
      <w:r w:rsidR="002D6C66">
        <w:rPr>
          <w:rFonts w:hint="eastAsia"/>
        </w:rPr>
        <w:t>6</w:t>
      </w:r>
      <w:r w:rsidR="002D6C66">
        <w:rPr>
          <w:rFonts w:hint="eastAsia"/>
        </w:rPr>
        <w:t>）也</w:t>
      </w:r>
      <w:r w:rsidR="00C16927">
        <w:rPr>
          <w:rFonts w:hint="eastAsia"/>
        </w:rPr>
        <w:t>因之显得十分有趣，</w:t>
      </w:r>
      <w:r w:rsidR="002D6C66">
        <w:rPr>
          <w:rFonts w:hint="eastAsia"/>
        </w:rPr>
        <w:t>它就是提比略亲自写下的要求将决议记录下来存入公共档案的附笔：</w:t>
      </w:r>
    </w:p>
    <w:p w14:paraId="4D543125" w14:textId="0CDC7325" w:rsidR="002D6C66" w:rsidRPr="002D6C66" w:rsidRDefault="002D6C66" w:rsidP="002D6C66">
      <w:pPr>
        <w:pStyle w:val="a7"/>
        <w:ind w:leftChars="200" w:left="440" w:rightChars="200" w:right="440"/>
        <w:jc w:val="left"/>
      </w:pPr>
      <w:r w:rsidRPr="002D6C66">
        <w:t>“</w:t>
      </w:r>
      <w:r>
        <w:rPr>
          <w:rFonts w:hint="eastAsia"/>
        </w:rPr>
        <w:t>(velle me hoc senatus consultum)</w:t>
      </w:r>
      <w:r>
        <w:t>…</w:t>
      </w:r>
      <w:r>
        <w:rPr>
          <w:rFonts w:hint="eastAsia"/>
        </w:rPr>
        <w:t xml:space="preserve"> </w:t>
      </w:r>
      <w:r w:rsidRPr="002D6C66">
        <w:t xml:space="preserve">me scriptum manu </w:t>
      </w:r>
      <w:r>
        <w:rPr>
          <w:rFonts w:hint="eastAsia"/>
        </w:rPr>
        <w:t>A</w:t>
      </w:r>
      <w:r w:rsidRPr="002D6C66">
        <w:t>uli quaestoris mei in tabellis xiiii referri in tabulas publicas</w:t>
      </w:r>
      <w:r>
        <w:rPr>
          <w:rFonts w:hint="eastAsia"/>
        </w:rPr>
        <w:t>.</w:t>
      </w:r>
      <w:r w:rsidRPr="002D6C66">
        <w:t>”</w:t>
      </w:r>
    </w:p>
    <w:p w14:paraId="6868FAA0" w14:textId="4FAB1B64" w:rsidR="002D6C66" w:rsidRDefault="002D6C66" w:rsidP="002D6C66">
      <w:pPr>
        <w:pStyle w:val="a7"/>
        <w:ind w:leftChars="200" w:left="440" w:rightChars="200" w:right="440"/>
        <w:jc w:val="left"/>
      </w:pPr>
      <w:r w:rsidRPr="002D6C66">
        <w:t>“</w:t>
      </w:r>
      <w:r>
        <w:rPr>
          <w:rFonts w:hint="eastAsia"/>
        </w:rPr>
        <w:t>（我希望将这份……元老院决议）载入公共档案。</w:t>
      </w:r>
      <w:r w:rsidRPr="002D6C66">
        <w:t>”</w:t>
      </w:r>
    </w:p>
    <w:p w14:paraId="7BF7A606" w14:textId="099E511E" w:rsidR="002D6C66" w:rsidRDefault="00FA0360" w:rsidP="002D6C66">
      <w:r>
        <w:rPr>
          <w:rFonts w:hint="eastAsia"/>
        </w:rPr>
        <w:t>提比略尤其强调这一段附笔是他亲笔写下（</w:t>
      </w:r>
      <w:r w:rsidRPr="00FA0360">
        <w:t>manu mea scripsi</w:t>
      </w:r>
      <w:r>
        <w:rPr>
          <w:rFonts w:hint="eastAsia"/>
        </w:rPr>
        <w:t>），这一不符合元老院决议文体特征、高度个人化的文本表达，表现了提比略希望自己的审判为人所知并被视作公正之举。</w:t>
      </w:r>
      <w:r w:rsidR="00EE3235">
        <w:rPr>
          <w:rFonts w:hint="eastAsia"/>
        </w:rPr>
        <w:t>而塔西佗对这一可以说是整份元老院决议中最不寻常之处只字未提，反而在皮索案的审判完成后的</w:t>
      </w:r>
      <w:r w:rsidR="00EC5DFF">
        <w:rPr>
          <w:rFonts w:hint="eastAsia"/>
        </w:rPr>
        <w:t>随后几节中，立即为这场本就疑云重重的审判增添了更多不确定的色彩。在</w:t>
      </w:r>
      <w:r w:rsidR="00EC5DFF">
        <w:rPr>
          <w:rFonts w:hint="eastAsia"/>
        </w:rPr>
        <w:t>3.1</w:t>
      </w:r>
      <w:r w:rsidR="001741A0">
        <w:rPr>
          <w:rFonts w:hint="eastAsia"/>
        </w:rPr>
        <w:t>6</w:t>
      </w:r>
      <w:r w:rsidR="00EC5DFF">
        <w:rPr>
          <w:rFonts w:hint="eastAsia"/>
        </w:rPr>
        <w:t>中塔西佗记录了关于皮索是自杀还是他杀的争论</w:t>
      </w:r>
      <w:r w:rsidR="001741A0">
        <w:rPr>
          <w:rFonts w:hint="eastAsia"/>
        </w:rPr>
        <w:t>，随后在</w:t>
      </w:r>
      <w:r w:rsidR="001741A0">
        <w:rPr>
          <w:rFonts w:hint="eastAsia"/>
        </w:rPr>
        <w:t>3.19</w:t>
      </w:r>
      <w:r w:rsidR="001741A0">
        <w:rPr>
          <w:rFonts w:hint="eastAsia"/>
        </w:rPr>
        <w:t>中</w:t>
      </w:r>
      <w:r w:rsidR="00EE3235">
        <w:rPr>
          <w:rFonts w:hint="eastAsia"/>
        </w:rPr>
        <w:t>写道了德鲁苏斯之母韦普萨尼亚的死亡</w:t>
      </w:r>
      <w:r w:rsidR="001741A0">
        <w:rPr>
          <w:rFonts w:hint="eastAsia"/>
        </w:rPr>
        <w:t>。</w:t>
      </w:r>
      <w:r w:rsidR="00EE3235">
        <w:rPr>
          <w:rFonts w:hint="eastAsia"/>
        </w:rPr>
        <w:t>而耐人寻味的是，此处塔西佗尤其强调了韦普萨尼亚是阿格里帕的孩子中唯一安详离世，其他的“或明显地死于刀剑、或是据信死于毒药或饥饿”（</w:t>
      </w:r>
      <w:r w:rsidR="00A920FD">
        <w:rPr>
          <w:rFonts w:hint="eastAsia"/>
        </w:rPr>
        <w:t xml:space="preserve">ceteros </w:t>
      </w:r>
      <w:r w:rsidR="00EE3235">
        <w:rPr>
          <w:rFonts w:hint="eastAsia"/>
        </w:rPr>
        <w:t xml:space="preserve">manifestum ferro vel creditum est </w:t>
      </w:r>
      <w:r w:rsidR="009B4C4B">
        <w:rPr>
          <w:rFonts w:hint="eastAsia"/>
        </w:rPr>
        <w:t>v</w:t>
      </w:r>
      <w:r w:rsidR="00EE3235">
        <w:t>eneno</w:t>
      </w:r>
      <w:r w:rsidR="00EE3235">
        <w:rPr>
          <w:rFonts w:hint="eastAsia"/>
        </w:rPr>
        <w:t xml:space="preserve"> aut fame extinctos</w:t>
      </w:r>
      <w:r w:rsidR="00EE3235">
        <w:rPr>
          <w:rFonts w:hint="eastAsia"/>
        </w:rPr>
        <w:t>）。</w:t>
      </w:r>
      <w:r w:rsidR="0026180D">
        <w:rPr>
          <w:rFonts w:hint="eastAsia"/>
        </w:rPr>
        <w:t>德鲁苏斯也死于毒药，谣言也传说是提比略害死了他，从中可以看出</w:t>
      </w:r>
      <w:r w:rsidR="008C63E1">
        <w:rPr>
          <w:rFonts w:hint="eastAsia"/>
        </w:rPr>
        <w:t>德鲁苏斯和日耳曼尼库斯在塔西佗笔下的某种相似性，也暗示着塔西佗在关于皮索案的记载中隐含的态度。</w:t>
      </w:r>
    </w:p>
    <w:p w14:paraId="5031D111" w14:textId="59D911F5" w:rsidR="00AB563B" w:rsidRDefault="00AB563B" w:rsidP="00AB563B">
      <w:pPr>
        <w:ind w:firstLine="420"/>
      </w:pPr>
      <w:r>
        <w:rPr>
          <w:rFonts w:hint="eastAsia"/>
        </w:rPr>
        <w:t>对比之下，</w:t>
      </w:r>
      <w:r w:rsidRPr="00433A68">
        <w:t>SC1</w:t>
      </w:r>
      <w:r w:rsidRPr="00433A68">
        <w:t>与</w:t>
      </w:r>
      <w:r w:rsidRPr="00433A68">
        <w:t>TAC1</w:t>
      </w:r>
      <w:r w:rsidRPr="00433A68">
        <w:t>的余弦相似度高达</w:t>
      </w:r>
      <w:r w:rsidRPr="00433A68">
        <w:t>0.98</w:t>
      </w:r>
      <w:r w:rsidRPr="00433A68">
        <w:t>，在四组对比中居首</w:t>
      </w:r>
      <w:r>
        <w:rPr>
          <w:rFonts w:hint="eastAsia"/>
        </w:rPr>
        <w:t>；同时，</w:t>
      </w:r>
      <w:r w:rsidRPr="00433A68">
        <w:t>在</w:t>
      </w:r>
      <w:r w:rsidRPr="00433A68">
        <w:lastRenderedPageBreak/>
        <w:t>UMAP</w:t>
      </w:r>
      <w:r w:rsidRPr="00433A68">
        <w:t>投影中，</w:t>
      </w:r>
      <w:r w:rsidRPr="00433A68">
        <w:t>SC1</w:t>
      </w:r>
      <w:r w:rsidRPr="00433A68">
        <w:t>与</w:t>
      </w:r>
      <w:r w:rsidRPr="00433A68">
        <w:t>TAC1</w:t>
      </w:r>
      <w:r w:rsidRPr="00433A68">
        <w:t>的块簇各自集中</w:t>
      </w:r>
      <w:r>
        <w:rPr>
          <w:rFonts w:hint="eastAsia"/>
        </w:rPr>
        <w:t>，</w:t>
      </w:r>
      <w:r w:rsidRPr="00433A68">
        <w:t>反映出</w:t>
      </w:r>
      <w:r w:rsidR="008E598D">
        <w:rPr>
          <w:rFonts w:hint="eastAsia"/>
        </w:rPr>
        <w:t>历史学家的主观安排相对较弱时，</w:t>
      </w:r>
      <w:r w:rsidRPr="00433A68">
        <w:t>铭刻演说与史籍改写之间</w:t>
      </w:r>
      <w:r>
        <w:rPr>
          <w:rFonts w:hint="eastAsia"/>
        </w:rPr>
        <w:t>更为一般</w:t>
      </w:r>
      <w:r w:rsidRPr="00433A68">
        <w:t>的文本关联方式</w:t>
      </w:r>
      <w:r>
        <w:rPr>
          <w:rFonts w:hint="eastAsia"/>
        </w:rPr>
        <w:t>：二者</w:t>
      </w:r>
      <w:r w:rsidRPr="00433A68">
        <w:t>共享了争取元老院支持、援引历史先例等宏观修辞框架，因而全文级语义质心极为接近</w:t>
      </w:r>
      <w:r>
        <w:rPr>
          <w:rFonts w:hint="eastAsia"/>
        </w:rPr>
        <w:t>，</w:t>
      </w:r>
      <w:r w:rsidRPr="00433A68">
        <w:t>但在具体分块层面，铭刻保留了</w:t>
      </w:r>
      <w:r>
        <w:rPr>
          <w:rFonts w:hint="eastAsia"/>
        </w:rPr>
        <w:t>演讲原文的特殊措辞和语言结构</w:t>
      </w:r>
      <w:r w:rsidRPr="00433A68">
        <w:t>，而塔西佗的改写则更为凝练、符合史书体例</w:t>
      </w:r>
      <w:r>
        <w:rPr>
          <w:rFonts w:hint="eastAsia"/>
        </w:rPr>
        <w:t>与篇幅的要求</w:t>
      </w:r>
      <w:r w:rsidR="008E598D">
        <w:rPr>
          <w:rFonts w:hint="eastAsia"/>
        </w:rPr>
        <w:t>。</w:t>
      </w:r>
    </w:p>
    <w:p w14:paraId="276A3A05" w14:textId="23272B7A" w:rsidR="00AB563B" w:rsidRDefault="00D41A2A" w:rsidP="00D41A2A">
      <w:r>
        <w:rPr>
          <w:rFonts w:hint="eastAsia"/>
        </w:rPr>
        <w:t>五、结论</w:t>
      </w:r>
    </w:p>
    <w:p w14:paraId="6070D92E" w14:textId="77777777" w:rsidR="00B41851" w:rsidRDefault="00D41A2A" w:rsidP="00D41A2A">
      <w:pPr>
        <w:ind w:firstLine="420"/>
      </w:pPr>
      <w:r w:rsidRPr="00D41A2A">
        <w:t>本文以</w:t>
      </w:r>
      <w:r w:rsidRPr="00D41A2A">
        <w:t>Latin BERT</w:t>
      </w:r>
      <w:r w:rsidRPr="00D41A2A">
        <w:t>语境化嵌入为工具，对两组元老院铭刻与塔西佗《编年史》相关段落进行了全文相似度、</w:t>
      </w:r>
      <w:r w:rsidRPr="00D41A2A">
        <w:t>UMAP</w:t>
      </w:r>
      <w:r w:rsidRPr="00D41A2A">
        <w:t>聚类与跨文档最近邻分析，</w:t>
      </w:r>
      <w:r>
        <w:rPr>
          <w:rFonts w:hint="eastAsia"/>
        </w:rPr>
        <w:t>重点聚焦</w:t>
      </w:r>
      <w:r>
        <w:rPr>
          <w:rFonts w:hint="eastAsia"/>
        </w:rPr>
        <w:t>SCPP</w:t>
      </w:r>
      <w:r>
        <w:rPr>
          <w:rFonts w:hint="eastAsia"/>
        </w:rPr>
        <w:t>与塔西佗相关段落之间的比对，</w:t>
      </w:r>
      <w:r w:rsidRPr="00D41A2A">
        <w:t>尝试为古典文献的互文性研究提供可量化的视角。计算结果显示，元老院决议与塔西佗文本之间的语义关系并非单一的</w:t>
      </w:r>
      <w:r w:rsidRPr="00D41A2A">
        <w:t>“</w:t>
      </w:r>
      <w:r w:rsidRPr="00D41A2A">
        <w:t>忠实改写</w:t>
      </w:r>
      <w:r w:rsidRPr="00D41A2A">
        <w:t>”</w:t>
      </w:r>
      <w:r w:rsidRPr="00D41A2A">
        <w:t>或</w:t>
      </w:r>
      <w:r w:rsidRPr="00D41A2A">
        <w:t>“</w:t>
      </w:r>
      <w:r w:rsidRPr="00D41A2A">
        <w:t>自由虚构</w:t>
      </w:r>
      <w:r w:rsidRPr="00D41A2A">
        <w:t>”</w:t>
      </w:r>
      <w:r w:rsidRPr="00D41A2A">
        <w:t>，而</w:t>
      </w:r>
      <w:r>
        <w:rPr>
          <w:rFonts w:hint="eastAsia"/>
        </w:rPr>
        <w:t>是尤其在事关重大、塔西佗希望有所阐发的文段</w:t>
      </w:r>
      <w:r w:rsidRPr="00D41A2A">
        <w:t>呈现出</w:t>
      </w:r>
      <w:r>
        <w:rPr>
          <w:rFonts w:hint="eastAsia"/>
        </w:rPr>
        <w:t>丰富的</w:t>
      </w:r>
      <w:r w:rsidRPr="00D41A2A">
        <w:t>重叠与错位：既有全文级主题质心的高度趋同，也有段落级公式化语言的直接挪用，更有个别块脱离主簇而成为</w:t>
      </w:r>
      <w:r>
        <w:rPr>
          <w:rFonts w:hint="eastAsia"/>
        </w:rPr>
        <w:t>塔西佗</w:t>
      </w:r>
      <w:r w:rsidRPr="00D41A2A">
        <w:t>叙事安排</w:t>
      </w:r>
      <w:r>
        <w:rPr>
          <w:rFonts w:hint="eastAsia"/>
        </w:rPr>
        <w:t>意图</w:t>
      </w:r>
      <w:r w:rsidRPr="00D41A2A">
        <w:t>的关键线索</w:t>
      </w:r>
      <w:r w:rsidR="00B41851">
        <w:rPr>
          <w:rFonts w:hint="eastAsia"/>
        </w:rPr>
        <w:t>，这些都</w:t>
      </w:r>
      <w:r w:rsidRPr="00D41A2A">
        <w:t>共同指向了历史书写中取材、省略与重构的深层动机。上述发现与达蒙、塔尔博特等学者从语文学角度得出的结论相互呼应，表明计算方法能够在保留文本复杂性的前提下，为传统的文本对读和叙事分析提供系统性的辅助证据。</w:t>
      </w:r>
    </w:p>
    <w:p w14:paraId="70FA7DEB" w14:textId="387A1CDE" w:rsidR="00E13232" w:rsidRPr="00AB563B" w:rsidRDefault="00D41A2A" w:rsidP="00D41A2A">
      <w:pPr>
        <w:ind w:firstLine="420"/>
      </w:pPr>
      <w:r w:rsidRPr="00D41A2A">
        <w:t>当然，本文所</w:t>
      </w:r>
      <w:r w:rsidR="009D7F6A">
        <w:rPr>
          <w:rFonts w:hint="eastAsia"/>
        </w:rPr>
        <w:t>采用的数据分析</w:t>
      </w:r>
      <w:r w:rsidRPr="00D41A2A">
        <w:t>流程也存在局限：基于均值池化的向量相似度难以细致区分</w:t>
      </w:r>
      <w:r w:rsidRPr="00D41A2A">
        <w:t>“</w:t>
      </w:r>
      <w:r w:rsidRPr="00D41A2A">
        <w:t>实质互文</w:t>
      </w:r>
      <w:r w:rsidRPr="00D41A2A">
        <w:t>”</w:t>
      </w:r>
      <w:r w:rsidRPr="00D41A2A">
        <w:t>与</w:t>
      </w:r>
      <w:r w:rsidRPr="00D41A2A">
        <w:t>“</w:t>
      </w:r>
      <w:r w:rsidRPr="00D41A2A">
        <w:t>套语趋同</w:t>
      </w:r>
      <w:r w:rsidRPr="00D41A2A">
        <w:t>”</w:t>
      </w:r>
      <w:r w:rsidRPr="00D41A2A">
        <w:t>，</w:t>
      </w:r>
      <w:r w:rsidRPr="00D41A2A">
        <w:t>UMAP</w:t>
      </w:r>
      <w:r w:rsidRPr="00D41A2A">
        <w:t>投影的局部失真也可能影响视觉判断。</w:t>
      </w:r>
      <w:r w:rsidR="008114F7">
        <w:rPr>
          <w:rFonts w:hint="eastAsia"/>
        </w:rPr>
        <w:t>尤其是拉丁语省略主语的习惯、上下文间的极强的整体性特征，决定了</w:t>
      </w:r>
      <w:r w:rsidRPr="00D41A2A">
        <w:t>未来的研究</w:t>
      </w:r>
      <w:r w:rsidR="008114F7">
        <w:rPr>
          <w:rFonts w:hint="eastAsia"/>
        </w:rPr>
        <w:t>还可以</w:t>
      </w:r>
      <w:r w:rsidRPr="00D41A2A">
        <w:t>引入命名实体识别、基于句法结构的对齐或微调后的句向量模型</w:t>
      </w:r>
      <w:r w:rsidR="008114F7">
        <w:rPr>
          <w:rFonts w:hint="eastAsia"/>
        </w:rPr>
        <w:t>，</w:t>
      </w:r>
      <w:r w:rsidRPr="00D41A2A">
        <w:t>以增强事件指涉的辨析力，进一步探索计算语言学与古典语文学交叉地带的可能。</w:t>
      </w:r>
    </w:p>
    <w:p w14:paraId="69282D24" w14:textId="77777777" w:rsidR="003904FC" w:rsidRDefault="003904FC">
      <w:pPr>
        <w:widowControl/>
      </w:pPr>
      <w:r>
        <w:br w:type="page"/>
      </w:r>
    </w:p>
    <w:p w14:paraId="6E73E582" w14:textId="19B386AA" w:rsidR="000D0947" w:rsidRDefault="003904FC" w:rsidP="006E312E">
      <w:r>
        <w:rPr>
          <w:rFonts w:hint="eastAsia"/>
        </w:rPr>
        <w:lastRenderedPageBreak/>
        <w:t>参考文献</w:t>
      </w:r>
    </w:p>
    <w:p w14:paraId="44A16A85" w14:textId="77777777" w:rsidR="000628FD" w:rsidRPr="000628FD" w:rsidRDefault="000628FD" w:rsidP="000628FD">
      <w:pPr>
        <w:ind w:left="420" w:hanging="420"/>
        <w:rPr>
          <w:lang w:val="en-US"/>
        </w:rPr>
      </w:pPr>
      <w:r w:rsidRPr="000628FD">
        <w:rPr>
          <w:lang w:val="en-US"/>
        </w:rPr>
        <w:t>Bamman, David, and Patrick J. Burns. “Latin BERT: A Contextual Language Model for Classical Philology.” </w:t>
      </w:r>
      <w:r w:rsidRPr="000628FD">
        <w:rPr>
          <w:i/>
          <w:iCs/>
          <w:lang w:val="en-US"/>
        </w:rPr>
        <w:t>arXiv:2009.10053 [Cs]</w:t>
      </w:r>
      <w:r w:rsidRPr="000628FD">
        <w:rPr>
          <w:lang w:val="en-US"/>
        </w:rPr>
        <w:t>, September 2020, </w:t>
      </w:r>
      <w:hyperlink r:id="rId10" w:tgtFrame="_blank" w:history="1">
        <w:r w:rsidRPr="000628FD">
          <w:rPr>
            <w:rStyle w:val="af2"/>
            <w:lang w:val="en-US"/>
          </w:rPr>
          <w:t>http://arxiv.org/abs/2009.10053</w:t>
        </w:r>
      </w:hyperlink>
      <w:r w:rsidRPr="000628FD">
        <w:rPr>
          <w:lang w:val="en-US"/>
        </w:rPr>
        <w:t>, 2026</w:t>
      </w:r>
      <w:r w:rsidRPr="000628FD">
        <w:rPr>
          <w:lang w:val="en-US"/>
        </w:rPr>
        <w:t>年</w:t>
      </w:r>
      <w:r w:rsidRPr="000628FD">
        <w:rPr>
          <w:lang w:val="en-US"/>
        </w:rPr>
        <w:t>6</w:t>
      </w:r>
      <w:r w:rsidRPr="000628FD">
        <w:rPr>
          <w:lang w:val="en-US"/>
        </w:rPr>
        <w:t>月</w:t>
      </w:r>
      <w:r w:rsidRPr="000628FD">
        <w:rPr>
          <w:lang w:val="en-US"/>
        </w:rPr>
        <w:t>24</w:t>
      </w:r>
      <w:r w:rsidRPr="000628FD">
        <w:rPr>
          <w:lang w:val="en-US"/>
        </w:rPr>
        <w:t>日。</w:t>
      </w:r>
    </w:p>
    <w:p w14:paraId="7F805444" w14:textId="77777777" w:rsidR="000628FD" w:rsidRPr="000628FD" w:rsidRDefault="000628FD" w:rsidP="000628FD">
      <w:pPr>
        <w:ind w:left="420" w:hanging="420"/>
        <w:rPr>
          <w:lang w:val="en-US"/>
        </w:rPr>
      </w:pPr>
      <w:r w:rsidRPr="000628FD">
        <w:rPr>
          <w:lang w:val="en-US"/>
        </w:rPr>
        <w:t>Bodel, John. “Punishing Piso.” </w:t>
      </w:r>
      <w:r w:rsidRPr="000628FD">
        <w:rPr>
          <w:i/>
          <w:iCs/>
          <w:lang w:val="en-US"/>
        </w:rPr>
        <w:t>American Journal of Philology</w:t>
      </w:r>
      <w:r w:rsidRPr="000628FD">
        <w:rPr>
          <w:lang w:val="en-US"/>
        </w:rPr>
        <w:t>, vol. 120, no. 1 (1999), pp. 43-63.</w:t>
      </w:r>
    </w:p>
    <w:p w14:paraId="792DC0BE" w14:textId="77777777" w:rsidR="000628FD" w:rsidRPr="000628FD" w:rsidRDefault="000628FD" w:rsidP="000628FD">
      <w:pPr>
        <w:ind w:left="420" w:hanging="420"/>
        <w:rPr>
          <w:lang w:val="en-US"/>
        </w:rPr>
      </w:pPr>
      <w:r w:rsidRPr="000628FD">
        <w:rPr>
          <w:lang w:val="en-US"/>
        </w:rPr>
        <w:t>Damon, Cynthia. “The Trial of Cn. Piso in Tacitus’ Annals and the Senatus Consultum de Cn. Pisone Patre: New Light on Narrative Technique.” </w:t>
      </w:r>
      <w:r w:rsidRPr="000628FD">
        <w:rPr>
          <w:i/>
          <w:iCs/>
          <w:lang w:val="en-US"/>
        </w:rPr>
        <w:t>American Journal of Philology</w:t>
      </w:r>
      <w:r w:rsidRPr="000628FD">
        <w:rPr>
          <w:lang w:val="en-US"/>
        </w:rPr>
        <w:t>, vol. 120, no. 1 (1999), pp. 143-162.</w:t>
      </w:r>
    </w:p>
    <w:p w14:paraId="6B482598" w14:textId="77777777" w:rsidR="000628FD" w:rsidRPr="000628FD" w:rsidRDefault="000628FD" w:rsidP="000628FD">
      <w:pPr>
        <w:ind w:left="420" w:hanging="420"/>
        <w:rPr>
          <w:lang w:val="en-US"/>
        </w:rPr>
      </w:pPr>
      <w:r w:rsidRPr="000628FD">
        <w:rPr>
          <w:lang w:val="en-US"/>
        </w:rPr>
        <w:t>Diepenbroek, Martine. “Conspiring against the State? Livy’s Account of the Bacchanalia of 186 BCE Used as a Warning against 1st Century BCE Rome.” </w:t>
      </w:r>
      <w:r w:rsidRPr="000628FD">
        <w:rPr>
          <w:i/>
          <w:iCs/>
          <w:lang w:val="en-US"/>
        </w:rPr>
        <w:t>Latina &amp; Graeca</w:t>
      </w:r>
      <w:r w:rsidRPr="000628FD">
        <w:rPr>
          <w:lang w:val="en-US"/>
        </w:rPr>
        <w:t>, no. 47 (2024), pp. 27-53.</w:t>
      </w:r>
    </w:p>
    <w:p w14:paraId="49D719B3" w14:textId="77777777" w:rsidR="000628FD" w:rsidRPr="000628FD" w:rsidRDefault="000628FD" w:rsidP="000628FD">
      <w:pPr>
        <w:ind w:left="420" w:hanging="420"/>
        <w:rPr>
          <w:lang w:val="en-US"/>
        </w:rPr>
      </w:pPr>
      <w:r w:rsidRPr="000628FD">
        <w:rPr>
          <w:lang w:val="en-US"/>
        </w:rPr>
        <w:t>Flower, Harriet I. “Rethinking ‘Damnatio Memoriae’: The Case of Cn. Calpurnius Piso Pater in AD 20.” </w:t>
      </w:r>
      <w:r w:rsidRPr="000628FD">
        <w:rPr>
          <w:i/>
          <w:iCs/>
          <w:lang w:val="en-US"/>
        </w:rPr>
        <w:t>Classical Antiquity</w:t>
      </w:r>
      <w:r w:rsidRPr="000628FD">
        <w:rPr>
          <w:lang w:val="en-US"/>
        </w:rPr>
        <w:t>, vol. 17, no. 2 (October 1998), p. 158.</w:t>
      </w:r>
    </w:p>
    <w:p w14:paraId="5C01CE01" w14:textId="77777777" w:rsidR="000628FD" w:rsidRPr="000628FD" w:rsidRDefault="000628FD" w:rsidP="000628FD">
      <w:pPr>
        <w:ind w:left="420" w:hanging="420"/>
        <w:rPr>
          <w:lang w:val="en-US"/>
        </w:rPr>
      </w:pPr>
      <w:r w:rsidRPr="000628FD">
        <w:rPr>
          <w:lang w:val="en-US"/>
        </w:rPr>
        <w:t>Potter, D. S. “Political Theory in the Senatus Consultum Pisonianum.” </w:t>
      </w:r>
      <w:r w:rsidRPr="000628FD">
        <w:rPr>
          <w:i/>
          <w:iCs/>
          <w:lang w:val="en-US"/>
        </w:rPr>
        <w:t>American Journal of Philology</w:t>
      </w:r>
      <w:r w:rsidRPr="000628FD">
        <w:rPr>
          <w:lang w:val="en-US"/>
        </w:rPr>
        <w:t>, vol. 120, no. 1 (1999), pp. 65-88.</w:t>
      </w:r>
    </w:p>
    <w:p w14:paraId="4C48DE5E" w14:textId="77777777" w:rsidR="000628FD" w:rsidRPr="000628FD" w:rsidRDefault="000628FD" w:rsidP="000628FD">
      <w:pPr>
        <w:ind w:left="420" w:hanging="420"/>
        <w:rPr>
          <w:lang w:val="en-US"/>
        </w:rPr>
      </w:pPr>
      <w:r w:rsidRPr="000628FD">
        <w:rPr>
          <w:lang w:val="en-US"/>
        </w:rPr>
        <w:t>Sherk, Robert K. </w:t>
      </w:r>
      <w:r w:rsidRPr="000628FD">
        <w:rPr>
          <w:i/>
          <w:iCs/>
          <w:lang w:val="en-US"/>
        </w:rPr>
        <w:t>Roman Documents from the Greek East: Senatus Consulta and Epistulae to the Age of Augustus</w:t>
      </w:r>
      <w:r w:rsidRPr="000628FD">
        <w:rPr>
          <w:lang w:val="en-US"/>
        </w:rPr>
        <w:t>. Baltimore: The Johns Hopkins Press, 1969, pp. 7-10.</w:t>
      </w:r>
    </w:p>
    <w:p w14:paraId="2287AC78" w14:textId="77777777" w:rsidR="000628FD" w:rsidRPr="000628FD" w:rsidRDefault="000628FD" w:rsidP="000628FD">
      <w:pPr>
        <w:ind w:left="420" w:hanging="420"/>
        <w:rPr>
          <w:lang w:val="en-US"/>
        </w:rPr>
      </w:pPr>
      <w:r w:rsidRPr="000628FD">
        <w:rPr>
          <w:lang w:val="en-US"/>
        </w:rPr>
        <w:t>Talbert, Richard J. A. “Tacitus and the Senatus Consultum de Cn. Pisone Patre.” </w:t>
      </w:r>
      <w:r w:rsidRPr="000628FD">
        <w:rPr>
          <w:i/>
          <w:iCs/>
          <w:lang w:val="en-US"/>
        </w:rPr>
        <w:t>American Journal of Philology</w:t>
      </w:r>
      <w:r w:rsidRPr="000628FD">
        <w:rPr>
          <w:lang w:val="en-US"/>
        </w:rPr>
        <w:t>, vol. 120, no. 1 (1999), pp. 89-97.</w:t>
      </w:r>
    </w:p>
    <w:p w14:paraId="49F035C9" w14:textId="77777777" w:rsidR="000628FD" w:rsidRPr="000628FD" w:rsidRDefault="000628FD" w:rsidP="000628FD">
      <w:pPr>
        <w:ind w:left="420" w:hanging="420"/>
        <w:rPr>
          <w:lang w:val="en-US"/>
        </w:rPr>
      </w:pPr>
      <w:r w:rsidRPr="000628FD">
        <w:rPr>
          <w:lang w:val="en-US"/>
        </w:rPr>
        <w:t>Woodman, A. J., and R. H. Martin, eds. </w:t>
      </w:r>
      <w:r w:rsidRPr="000628FD">
        <w:rPr>
          <w:i/>
          <w:iCs/>
          <w:lang w:val="en-US"/>
        </w:rPr>
        <w:t>The Annals of Tacitus Book 3</w:t>
      </w:r>
      <w:r w:rsidRPr="000628FD">
        <w:rPr>
          <w:lang w:val="en-US"/>
        </w:rPr>
        <w:t>. Cambridge: Cambridge University Press, 1996, pp. 114-115.</w:t>
      </w:r>
    </w:p>
    <w:p w14:paraId="5EBE08BF" w14:textId="22FC504D" w:rsidR="004A230A" w:rsidRPr="00725A43" w:rsidRDefault="004A230A" w:rsidP="000628FD">
      <w:pPr>
        <w:ind w:left="420" w:hanging="420"/>
      </w:pPr>
    </w:p>
    <w:sectPr w:rsidR="004A230A" w:rsidRPr="00725A43">
      <w:footnotePr>
        <w:numFmt w:val="decimalEnclosedCircl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DCDC8" w14:textId="77777777" w:rsidR="00852392" w:rsidRDefault="00852392" w:rsidP="000A1DA1">
      <w:pPr>
        <w:spacing w:after="0" w:line="240" w:lineRule="auto"/>
      </w:pPr>
      <w:r>
        <w:separator/>
      </w:r>
    </w:p>
  </w:endnote>
  <w:endnote w:type="continuationSeparator" w:id="0">
    <w:p w14:paraId="448CCA41" w14:textId="77777777" w:rsidR="00852392" w:rsidRDefault="00852392" w:rsidP="000A1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F7D07" w14:textId="77777777" w:rsidR="00852392" w:rsidRDefault="00852392" w:rsidP="000A1DA1">
      <w:pPr>
        <w:spacing w:after="0" w:line="240" w:lineRule="auto"/>
      </w:pPr>
      <w:r>
        <w:separator/>
      </w:r>
    </w:p>
  </w:footnote>
  <w:footnote w:type="continuationSeparator" w:id="0">
    <w:p w14:paraId="18151222" w14:textId="77777777" w:rsidR="00852392" w:rsidRDefault="00852392" w:rsidP="000A1DA1">
      <w:pPr>
        <w:spacing w:after="0" w:line="240" w:lineRule="auto"/>
      </w:pPr>
      <w:r>
        <w:continuationSeparator/>
      </w:r>
    </w:p>
  </w:footnote>
  <w:footnote w:id="1">
    <w:p w14:paraId="5D3CF4C7" w14:textId="53AA1E8F" w:rsidR="008B5BAE" w:rsidRDefault="008B5BAE">
      <w:pPr>
        <w:pStyle w:val="af4"/>
      </w:pPr>
      <w:r>
        <w:rPr>
          <w:rStyle w:val="af6"/>
        </w:rPr>
        <w:footnoteRef/>
      </w:r>
      <w:r>
        <w:t xml:space="preserve"> </w:t>
      </w:r>
      <w:r w:rsidR="004E48E6" w:rsidRPr="004E48E6">
        <w:t>Diepenbroek, Martine. “Conspiring against the State? Livy’s Account of the Bacchanalia of 186 BCE Used as a Warning against 1st Century BCE Rome.” </w:t>
      </w:r>
      <w:r w:rsidR="004E48E6" w:rsidRPr="004E48E6">
        <w:rPr>
          <w:i/>
          <w:iCs/>
        </w:rPr>
        <w:t>Latina &amp; Graeca</w:t>
      </w:r>
      <w:r w:rsidR="004E48E6" w:rsidRPr="004E48E6">
        <w:t>, no. 47 (2024), pp. 27-53.</w:t>
      </w:r>
    </w:p>
  </w:footnote>
  <w:footnote w:id="2">
    <w:p w14:paraId="621683BE" w14:textId="129DA1BC" w:rsidR="00A64A0F" w:rsidRDefault="00A64A0F">
      <w:pPr>
        <w:pStyle w:val="af4"/>
      </w:pPr>
      <w:r>
        <w:rPr>
          <w:rStyle w:val="af6"/>
        </w:rPr>
        <w:footnoteRef/>
      </w:r>
      <w:r>
        <w:t xml:space="preserve"> </w:t>
      </w:r>
      <w:r w:rsidR="004E48E6" w:rsidRPr="004E48E6">
        <w:t>Sherk, Robert K. </w:t>
      </w:r>
      <w:r w:rsidR="004E48E6" w:rsidRPr="004E48E6">
        <w:rPr>
          <w:i/>
          <w:iCs/>
        </w:rPr>
        <w:t>Roman Documents from the Greek East: Senatus Consulta and Epistulae to the Age of Augustus</w:t>
      </w:r>
      <w:r w:rsidR="004E48E6" w:rsidRPr="004E48E6">
        <w:t>. Baltimore: The Johns Hopkins Press, 1969, pp. 7-10.</w:t>
      </w:r>
    </w:p>
  </w:footnote>
  <w:footnote w:id="3">
    <w:p w14:paraId="753AD88D" w14:textId="6F4204C6" w:rsidR="00314305" w:rsidRDefault="00314305" w:rsidP="00314305">
      <w:pPr>
        <w:pStyle w:val="af4"/>
      </w:pPr>
      <w:r>
        <w:rPr>
          <w:rStyle w:val="af6"/>
        </w:rPr>
        <w:footnoteRef/>
      </w:r>
      <w:r>
        <w:t xml:space="preserve"> </w:t>
      </w:r>
      <w:r w:rsidR="004E48E6" w:rsidRPr="004E48E6">
        <w:t>Bodel, John</w:t>
      </w:r>
      <w:r w:rsidR="004E48E6" w:rsidRPr="004E48E6">
        <w:rPr>
          <w:b/>
          <w:bCs/>
        </w:rPr>
        <w:t>.</w:t>
      </w:r>
      <w:r w:rsidR="004E48E6" w:rsidRPr="004E48E6">
        <w:t> “Punishing Piso.” </w:t>
      </w:r>
      <w:r w:rsidR="004E48E6" w:rsidRPr="004E48E6">
        <w:rPr>
          <w:i/>
          <w:iCs/>
        </w:rPr>
        <w:t>American Journal of Philology</w:t>
      </w:r>
      <w:r w:rsidR="004E48E6" w:rsidRPr="004E48E6">
        <w:t>, vol. 120, no. 1 (1999), pp. 43-63.</w:t>
      </w:r>
    </w:p>
  </w:footnote>
  <w:footnote w:id="4">
    <w:p w14:paraId="6D929873" w14:textId="16C1AA2C" w:rsidR="00314305" w:rsidRDefault="00314305" w:rsidP="00314305">
      <w:pPr>
        <w:pStyle w:val="af4"/>
      </w:pPr>
      <w:r>
        <w:rPr>
          <w:rStyle w:val="af6"/>
        </w:rPr>
        <w:footnoteRef/>
      </w:r>
      <w:r>
        <w:t xml:space="preserve"> </w:t>
      </w:r>
      <w:r w:rsidR="004E48E6" w:rsidRPr="004E48E6">
        <w:t>Potter, D. S. “Political Theory in the Senatus Consultum Pisonianum.” </w:t>
      </w:r>
      <w:r w:rsidR="004E48E6" w:rsidRPr="004E48E6">
        <w:rPr>
          <w:i/>
          <w:iCs/>
        </w:rPr>
        <w:t>American Journal of Philology</w:t>
      </w:r>
      <w:r w:rsidR="004E48E6" w:rsidRPr="004E48E6">
        <w:t>, vol. 120, no. 1 (1999), pp. 65-88.</w:t>
      </w:r>
    </w:p>
  </w:footnote>
  <w:footnote w:id="5">
    <w:p w14:paraId="2BEF5E1A" w14:textId="755C8377" w:rsidR="00314305" w:rsidRDefault="00314305" w:rsidP="00314305">
      <w:pPr>
        <w:pStyle w:val="af4"/>
      </w:pPr>
      <w:r>
        <w:rPr>
          <w:rStyle w:val="af6"/>
        </w:rPr>
        <w:footnoteRef/>
      </w:r>
      <w:r>
        <w:t xml:space="preserve"> </w:t>
      </w:r>
      <w:r w:rsidR="004E48E6" w:rsidRPr="004E48E6">
        <w:t>Talbert, Richard J. A. “Tacitus and the Senatus Consultum de Cn. Pisone Patre.” </w:t>
      </w:r>
      <w:r w:rsidR="004E48E6" w:rsidRPr="004E48E6">
        <w:rPr>
          <w:i/>
          <w:iCs/>
        </w:rPr>
        <w:t>American Journal of Philology</w:t>
      </w:r>
      <w:r w:rsidR="004E48E6" w:rsidRPr="004E48E6">
        <w:t>, vol. 120, no. 1 (1999), pp. 89-97.</w:t>
      </w:r>
    </w:p>
  </w:footnote>
  <w:footnote w:id="6">
    <w:p w14:paraId="18F9DBB2" w14:textId="3CC2F562" w:rsidR="00314305" w:rsidRDefault="00314305" w:rsidP="00314305">
      <w:pPr>
        <w:pStyle w:val="af4"/>
      </w:pPr>
      <w:r>
        <w:rPr>
          <w:rStyle w:val="af6"/>
        </w:rPr>
        <w:footnoteRef/>
      </w:r>
      <w:r w:rsidR="004E48E6">
        <w:rPr>
          <w:rFonts w:hint="eastAsia"/>
          <w:b/>
          <w:bCs/>
        </w:rPr>
        <w:t xml:space="preserve"> </w:t>
      </w:r>
      <w:r w:rsidR="004E48E6" w:rsidRPr="004E48E6">
        <w:t>Damon, Cynthia. “The Trial of Cn. Piso in Tacitus’ Annals and the Senatus Consultum de Cn. Pisone Patre: New Light on Narrative Technique.” </w:t>
      </w:r>
      <w:r w:rsidR="004E48E6" w:rsidRPr="004E48E6">
        <w:rPr>
          <w:i/>
          <w:iCs/>
        </w:rPr>
        <w:t>American Journal of Philology</w:t>
      </w:r>
      <w:r w:rsidR="004E48E6" w:rsidRPr="004E48E6">
        <w:t>, vol. 120, no. 1 (1999), pp. 143-162.</w:t>
      </w:r>
    </w:p>
  </w:footnote>
  <w:footnote w:id="7">
    <w:p w14:paraId="31A201DE" w14:textId="4ACE91C1" w:rsidR="00D749F9" w:rsidRDefault="00D749F9">
      <w:pPr>
        <w:pStyle w:val="af4"/>
      </w:pPr>
      <w:r>
        <w:rPr>
          <w:rStyle w:val="af6"/>
        </w:rPr>
        <w:footnoteRef/>
      </w:r>
      <w:r>
        <w:t xml:space="preserve"> </w:t>
      </w:r>
      <w:r w:rsidR="004E48E6" w:rsidRPr="004E48E6">
        <w:t>Bamman, David, and Patrick J. Burns. “Latin BERT: A Contextual Language Model for Classical Philology.” </w:t>
      </w:r>
      <w:r w:rsidR="004E48E6" w:rsidRPr="004E48E6">
        <w:rPr>
          <w:i/>
          <w:iCs/>
        </w:rPr>
        <w:t>arXiv:2009.10053 [Cs]</w:t>
      </w:r>
      <w:r w:rsidR="004E48E6" w:rsidRPr="004E48E6">
        <w:t>, September 2020, </w:t>
      </w:r>
      <w:hyperlink r:id="rId1" w:tgtFrame="_blank" w:history="1">
        <w:r w:rsidR="004E48E6" w:rsidRPr="004E48E6">
          <w:rPr>
            <w:rStyle w:val="af2"/>
          </w:rPr>
          <w:t>http://arxiv.org/abs/2009.10053</w:t>
        </w:r>
      </w:hyperlink>
      <w:r w:rsidR="004E48E6" w:rsidRPr="004E48E6">
        <w:t>, 2026</w:t>
      </w:r>
      <w:r w:rsidR="004E48E6" w:rsidRPr="004E48E6">
        <w:t>年</w:t>
      </w:r>
      <w:r w:rsidR="004E48E6" w:rsidRPr="004E48E6">
        <w:t>6</w:t>
      </w:r>
      <w:r w:rsidR="004E48E6" w:rsidRPr="004E48E6">
        <w:t>月</w:t>
      </w:r>
      <w:r w:rsidR="004E48E6" w:rsidRPr="004E48E6">
        <w:t>24</w:t>
      </w:r>
      <w:r w:rsidR="004E48E6" w:rsidRPr="004E48E6">
        <w:t>日</w:t>
      </w:r>
      <w:r w:rsidR="004E48E6">
        <w:rPr>
          <w:rFonts w:hint="eastAsia"/>
        </w:rPr>
        <w:t>.</w:t>
      </w:r>
    </w:p>
  </w:footnote>
  <w:footnote w:id="8">
    <w:p w14:paraId="63E69D85" w14:textId="09634657" w:rsidR="00DA5EF7" w:rsidRPr="00DA5EF7" w:rsidRDefault="00DA5EF7">
      <w:pPr>
        <w:pStyle w:val="af4"/>
      </w:pPr>
      <w:r>
        <w:rPr>
          <w:rStyle w:val="af6"/>
        </w:rPr>
        <w:footnoteRef/>
      </w:r>
      <w:r>
        <w:t xml:space="preserve"> </w:t>
      </w:r>
      <w:r>
        <w:rPr>
          <w:rFonts w:hint="eastAsia"/>
        </w:rPr>
        <w:t>由于</w:t>
      </w:r>
      <w:r w:rsidR="004311CA">
        <w:rPr>
          <w:rFonts w:hint="eastAsia"/>
        </w:rPr>
        <w:t>文档级语义相似度分析（</w:t>
      </w:r>
      <w:r w:rsidR="004311CA" w:rsidRPr="004311CA">
        <w:t>Document‑level Semantic Similarity Analysis</w:t>
      </w:r>
      <w:r w:rsidR="004311CA">
        <w:rPr>
          <w:rFonts w:hint="eastAsia"/>
        </w:rPr>
        <w:t>）</w:t>
      </w:r>
      <w:r>
        <w:rPr>
          <w:rFonts w:hint="eastAsia"/>
        </w:rPr>
        <w:t>、</w:t>
      </w:r>
      <w:r w:rsidR="004311CA">
        <w:rPr>
          <w:rFonts w:hint="eastAsia"/>
        </w:rPr>
        <w:t>基于</w:t>
      </w:r>
      <w:r w:rsidR="004311CA">
        <w:rPr>
          <w:rFonts w:hint="eastAsia"/>
        </w:rPr>
        <w:t>UMAP</w:t>
      </w:r>
      <w:r w:rsidR="004311CA">
        <w:rPr>
          <w:rFonts w:hint="eastAsia"/>
        </w:rPr>
        <w:t>的文本块语义投影可视化（</w:t>
      </w:r>
      <w:r w:rsidR="004311CA" w:rsidRPr="004311CA">
        <w:t>Semantic Projection Visualization of Text Chunks via Uniform Manifold Approximation and Projection</w:t>
      </w:r>
      <w:r w:rsidR="004311CA">
        <w:rPr>
          <w:rFonts w:hint="eastAsia"/>
        </w:rPr>
        <w:t>）</w:t>
      </w:r>
      <w:r>
        <w:rPr>
          <w:rFonts w:hint="eastAsia"/>
        </w:rPr>
        <w:t>、</w:t>
      </w:r>
      <w:r w:rsidR="004311CA" w:rsidRPr="004311CA">
        <w:t>互文性平行段落检测</w:t>
      </w:r>
      <w:r w:rsidR="004311CA">
        <w:rPr>
          <w:rFonts w:hint="eastAsia"/>
        </w:rPr>
        <w:t>（</w:t>
      </w:r>
      <w:r w:rsidR="00842CCB" w:rsidRPr="00842CCB">
        <w:t>Intertextual Parallel Passage Detection</w:t>
      </w:r>
      <w:r w:rsidR="004311CA">
        <w:rPr>
          <w:rFonts w:hint="eastAsia"/>
        </w:rPr>
        <w:t>）</w:t>
      </w:r>
      <w:r>
        <w:rPr>
          <w:rFonts w:hint="eastAsia"/>
        </w:rPr>
        <w:t>均基于</w:t>
      </w:r>
      <w:r>
        <w:rPr>
          <w:rFonts w:hint="eastAsia"/>
        </w:rPr>
        <w:t>BERT</w:t>
      </w:r>
      <w:r>
        <w:rPr>
          <w:rFonts w:hint="eastAsia"/>
        </w:rPr>
        <w:t>嵌入的余弦相似度，故没有对数据进行词形还原（</w:t>
      </w:r>
      <w:r>
        <w:rPr>
          <w:rFonts w:hint="eastAsia"/>
        </w:rPr>
        <w:t>lemmatisation</w:t>
      </w:r>
      <w:r>
        <w:rPr>
          <w:rFonts w:hint="eastAsia"/>
        </w:rPr>
        <w:t>）。</w:t>
      </w:r>
    </w:p>
  </w:footnote>
  <w:footnote w:id="9">
    <w:p w14:paraId="541FDE52" w14:textId="55D398BA" w:rsidR="004320B7" w:rsidRPr="00016A44" w:rsidRDefault="004320B7" w:rsidP="00016A44">
      <w:pPr>
        <w:pStyle w:val="af4"/>
        <w:rPr>
          <w:lang w:val="en-US"/>
        </w:rPr>
      </w:pPr>
      <w:r>
        <w:rPr>
          <w:rStyle w:val="af6"/>
        </w:rPr>
        <w:footnoteRef/>
      </w:r>
      <w:r>
        <w:t xml:space="preserve"> </w:t>
      </w:r>
      <w:r>
        <w:rPr>
          <w:rFonts w:hint="eastAsia"/>
        </w:rPr>
        <w:t>段落按照相等长</w:t>
      </w:r>
      <w:r w:rsidR="00D54452">
        <w:rPr>
          <w:rFonts w:hint="eastAsia"/>
        </w:rPr>
        <w:t>（</w:t>
      </w:r>
      <w:r w:rsidR="00D54452">
        <w:rPr>
          <w:rFonts w:hint="eastAsia"/>
        </w:rPr>
        <w:t>30</w:t>
      </w:r>
      <w:r w:rsidR="00D54452">
        <w:rPr>
          <w:rFonts w:hint="eastAsia"/>
        </w:rPr>
        <w:t>词）</w:t>
      </w:r>
      <w:r>
        <w:rPr>
          <w:rFonts w:hint="eastAsia"/>
        </w:rPr>
        <w:t>度划分，不考虑每段间语义关联，一方面</w:t>
      </w:r>
      <w:r w:rsidRPr="004320B7">
        <w:t>代码逻辑简单</w:t>
      </w:r>
      <w:r>
        <w:rPr>
          <w:rFonts w:hint="eastAsia"/>
        </w:rPr>
        <w:t>、不需要外部分句器，便于复现以使</w:t>
      </w:r>
      <w:r w:rsidRPr="004320B7">
        <w:t>统计特性更可控</w:t>
      </w:r>
      <w:r w:rsidR="00016A44">
        <w:rPr>
          <w:rFonts w:hint="eastAsia"/>
        </w:rPr>
        <w:t>，同时</w:t>
      </w:r>
      <w:r w:rsidR="00016A44" w:rsidRPr="00016A44">
        <w:t>对于纯语义比较，向量对内容完整性不敏感</w:t>
      </w:r>
      <w:r w:rsidR="00016A44">
        <w:rPr>
          <w:rFonts w:hint="eastAsia"/>
        </w:rPr>
        <w:t>，除非</w:t>
      </w:r>
      <w:r w:rsidR="00016A44" w:rsidRPr="00016A44">
        <w:rPr>
          <w:lang w:val="en-US"/>
        </w:rPr>
        <w:t>在极少数情况下，一个固定长度的窗口恰好遗漏了构成关键语义的上下文（例如</w:t>
      </w:r>
      <w:r w:rsidR="00016A44" w:rsidRPr="00016A44">
        <w:rPr>
          <w:lang w:val="en-US"/>
        </w:rPr>
        <w:t> non ... sed ... </w:t>
      </w:r>
      <w:r w:rsidR="00016A44" w:rsidRPr="00016A44">
        <w:rPr>
          <w:lang w:val="en-US"/>
        </w:rPr>
        <w:t>结构被拆开</w:t>
      </w:r>
      <w:r w:rsidR="00016A44">
        <w:rPr>
          <w:rFonts w:hint="eastAsia"/>
          <w:lang w:val="en-US"/>
        </w:rPr>
        <w:t>,</w:t>
      </w:r>
      <w:r w:rsidR="00016A44" w:rsidRPr="00016A44">
        <w:rPr>
          <w:lang w:val="en-US"/>
        </w:rPr>
        <w:t xml:space="preserve"> </w:t>
      </w:r>
      <w:r w:rsidR="00016A44" w:rsidRPr="00016A44">
        <w:rPr>
          <w:lang w:val="en-US"/>
        </w:rPr>
        <w:t>这种情况在</w:t>
      </w:r>
      <w:r w:rsidR="00016A44" w:rsidRPr="00016A44">
        <w:rPr>
          <w:lang w:val="en-US"/>
        </w:rPr>
        <w:t xml:space="preserve"> 30 </w:t>
      </w:r>
      <w:r w:rsidR="00016A44" w:rsidRPr="00016A44">
        <w:rPr>
          <w:lang w:val="en-US"/>
        </w:rPr>
        <w:t>词的窗口下概率很低），</w:t>
      </w:r>
      <w:r w:rsidR="00016A44">
        <w:rPr>
          <w:rFonts w:hint="eastAsia"/>
          <w:lang w:val="en-US"/>
        </w:rPr>
        <w:t>不会对语义比较产生重大影响</w:t>
      </w:r>
      <w:r w:rsidR="00016A44" w:rsidRPr="00016A44">
        <w:rPr>
          <w:lang w:val="en-US"/>
        </w:rPr>
        <w:t>。</w:t>
      </w:r>
    </w:p>
  </w:footnote>
  <w:footnote w:id="10">
    <w:p w14:paraId="69B1BF0A" w14:textId="24BD1BA1" w:rsidR="006334B8" w:rsidRDefault="006334B8">
      <w:pPr>
        <w:pStyle w:val="af4"/>
      </w:pPr>
      <w:r>
        <w:rPr>
          <w:rStyle w:val="af6"/>
        </w:rPr>
        <w:footnoteRef/>
      </w:r>
      <w:r>
        <w:t xml:space="preserve"> </w:t>
      </w:r>
      <w:r w:rsidR="004E48E6" w:rsidRPr="004E48E6">
        <w:t>Flower, Harriet I. “Rethinking ‘Damnatio Memoriae’: The Case of Cn. Calpurnius Piso Pater in AD 20.” </w:t>
      </w:r>
      <w:r w:rsidR="004E48E6" w:rsidRPr="004E48E6">
        <w:rPr>
          <w:i/>
          <w:iCs/>
        </w:rPr>
        <w:t>Classical Antiquity</w:t>
      </w:r>
      <w:r w:rsidR="004E48E6" w:rsidRPr="004E48E6">
        <w:t>, vol. 17, no. 2 (October 1998), p. 158.</w:t>
      </w:r>
    </w:p>
  </w:footnote>
  <w:footnote w:id="11">
    <w:p w14:paraId="430F685E" w14:textId="36848E26" w:rsidR="001A7258" w:rsidRDefault="001A7258">
      <w:pPr>
        <w:pStyle w:val="af4"/>
      </w:pPr>
      <w:r>
        <w:rPr>
          <w:rStyle w:val="af6"/>
        </w:rPr>
        <w:footnoteRef/>
      </w:r>
      <w:r>
        <w:t xml:space="preserve"> </w:t>
      </w:r>
      <w:r w:rsidR="004E48E6" w:rsidRPr="004E48E6">
        <w:t>Woodman, A. J., and R. H. Martin, eds. </w:t>
      </w:r>
      <w:r w:rsidR="004E48E6" w:rsidRPr="004E48E6">
        <w:rPr>
          <w:i/>
          <w:iCs/>
        </w:rPr>
        <w:t>The Annals of Tacitus Book 3</w:t>
      </w:r>
      <w:r w:rsidR="004E48E6" w:rsidRPr="004E48E6">
        <w:t>. Cambridge: Cambridge University Press, 1996, pp. 114-115.</w:t>
      </w:r>
      <w:r w:rsidR="004A230A">
        <w:rPr>
          <w:rFonts w:hint="eastAsia"/>
        </w:rPr>
        <w:t xml:space="preserve"> </w:t>
      </w:r>
    </w:p>
  </w:footnote>
  <w:footnote w:id="12">
    <w:p w14:paraId="4A1909AE" w14:textId="236665BD" w:rsidR="004E48E6" w:rsidRDefault="004E48E6">
      <w:pPr>
        <w:pStyle w:val="af4"/>
      </w:pPr>
      <w:r>
        <w:rPr>
          <w:rStyle w:val="af6"/>
        </w:rPr>
        <w:footnoteRef/>
      </w:r>
      <w:r>
        <w:t xml:space="preserve"> </w:t>
      </w:r>
      <w:r w:rsidRPr="004E35EC">
        <w:t>Damon, Cynthia. 1999. “The Trial of Cn. Piso in Tacitus’ Annals and the Senatus Consultum de Cn. Pisone Patre: New Light on Narrative Technique.” </w:t>
      </w:r>
      <w:r w:rsidRPr="004E35EC">
        <w:rPr>
          <w:i/>
          <w:iCs/>
        </w:rPr>
        <w:t>American Journal of Philology</w:t>
      </w:r>
      <w:r w:rsidRPr="004E35EC">
        <w:t> 120 (1)</w:t>
      </w:r>
      <w:r>
        <w:rPr>
          <w:rFonts w:hint="eastAsia"/>
        </w:rPr>
        <w:t>. 155-161.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D91BD0"/>
    <w:multiLevelType w:val="multilevel"/>
    <w:tmpl w:val="72EAF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2552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numFmt w:val="decimalEnclosedCircl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D08"/>
    <w:rsid w:val="00016A44"/>
    <w:rsid w:val="000541D2"/>
    <w:rsid w:val="000628FD"/>
    <w:rsid w:val="000A1DA1"/>
    <w:rsid w:val="000A5076"/>
    <w:rsid w:val="000B2610"/>
    <w:rsid w:val="000B6C8D"/>
    <w:rsid w:val="000D0947"/>
    <w:rsid w:val="000E138F"/>
    <w:rsid w:val="00112793"/>
    <w:rsid w:val="00165823"/>
    <w:rsid w:val="001741A0"/>
    <w:rsid w:val="001A7258"/>
    <w:rsid w:val="001C0B4A"/>
    <w:rsid w:val="00215055"/>
    <w:rsid w:val="00227244"/>
    <w:rsid w:val="00241425"/>
    <w:rsid w:val="0026180D"/>
    <w:rsid w:val="00263FD3"/>
    <w:rsid w:val="00290D08"/>
    <w:rsid w:val="00293F45"/>
    <w:rsid w:val="002B0747"/>
    <w:rsid w:val="002B5C5E"/>
    <w:rsid w:val="002B68E0"/>
    <w:rsid w:val="002D6C66"/>
    <w:rsid w:val="003142D3"/>
    <w:rsid w:val="00314305"/>
    <w:rsid w:val="0032456B"/>
    <w:rsid w:val="00373774"/>
    <w:rsid w:val="003751AD"/>
    <w:rsid w:val="00377C51"/>
    <w:rsid w:val="003904FC"/>
    <w:rsid w:val="00395DC3"/>
    <w:rsid w:val="003A3B51"/>
    <w:rsid w:val="003C0DC8"/>
    <w:rsid w:val="003D320B"/>
    <w:rsid w:val="0040711E"/>
    <w:rsid w:val="00425705"/>
    <w:rsid w:val="004311CA"/>
    <w:rsid w:val="004320B7"/>
    <w:rsid w:val="00433A68"/>
    <w:rsid w:val="00495C6E"/>
    <w:rsid w:val="004A230A"/>
    <w:rsid w:val="004E35EC"/>
    <w:rsid w:val="004E48E6"/>
    <w:rsid w:val="00501723"/>
    <w:rsid w:val="00517D91"/>
    <w:rsid w:val="00525FE7"/>
    <w:rsid w:val="00527074"/>
    <w:rsid w:val="00546D04"/>
    <w:rsid w:val="005C4E4D"/>
    <w:rsid w:val="005F3637"/>
    <w:rsid w:val="005F5EF6"/>
    <w:rsid w:val="006136D4"/>
    <w:rsid w:val="0062290F"/>
    <w:rsid w:val="006334B8"/>
    <w:rsid w:val="0067712F"/>
    <w:rsid w:val="00691AB4"/>
    <w:rsid w:val="00696A33"/>
    <w:rsid w:val="006C5848"/>
    <w:rsid w:val="006E312E"/>
    <w:rsid w:val="00710752"/>
    <w:rsid w:val="00725A43"/>
    <w:rsid w:val="00733101"/>
    <w:rsid w:val="0077009E"/>
    <w:rsid w:val="00771459"/>
    <w:rsid w:val="00777BEB"/>
    <w:rsid w:val="007802F4"/>
    <w:rsid w:val="00781E3E"/>
    <w:rsid w:val="007E57F3"/>
    <w:rsid w:val="008114F7"/>
    <w:rsid w:val="0083249C"/>
    <w:rsid w:val="00842CCB"/>
    <w:rsid w:val="00852392"/>
    <w:rsid w:val="0089586E"/>
    <w:rsid w:val="008B5BAE"/>
    <w:rsid w:val="008C63E1"/>
    <w:rsid w:val="008E598D"/>
    <w:rsid w:val="009048E4"/>
    <w:rsid w:val="00955E57"/>
    <w:rsid w:val="0099503F"/>
    <w:rsid w:val="009B4C4B"/>
    <w:rsid w:val="009B7BCA"/>
    <w:rsid w:val="009D7F6A"/>
    <w:rsid w:val="00A00A1F"/>
    <w:rsid w:val="00A12B26"/>
    <w:rsid w:val="00A52EA7"/>
    <w:rsid w:val="00A64A0F"/>
    <w:rsid w:val="00A80105"/>
    <w:rsid w:val="00A920FD"/>
    <w:rsid w:val="00A963CD"/>
    <w:rsid w:val="00AB563B"/>
    <w:rsid w:val="00B04159"/>
    <w:rsid w:val="00B41851"/>
    <w:rsid w:val="00B71C85"/>
    <w:rsid w:val="00B8242D"/>
    <w:rsid w:val="00BA0D37"/>
    <w:rsid w:val="00C16927"/>
    <w:rsid w:val="00D41A2A"/>
    <w:rsid w:val="00D54452"/>
    <w:rsid w:val="00D749F9"/>
    <w:rsid w:val="00DA5EF7"/>
    <w:rsid w:val="00DE0C3E"/>
    <w:rsid w:val="00DE3CA0"/>
    <w:rsid w:val="00DE4A21"/>
    <w:rsid w:val="00E13232"/>
    <w:rsid w:val="00E45EDA"/>
    <w:rsid w:val="00E93E89"/>
    <w:rsid w:val="00EB69D5"/>
    <w:rsid w:val="00EB75EA"/>
    <w:rsid w:val="00EC24B5"/>
    <w:rsid w:val="00EC4FE0"/>
    <w:rsid w:val="00EC5DFF"/>
    <w:rsid w:val="00EC630A"/>
    <w:rsid w:val="00ED73E8"/>
    <w:rsid w:val="00EE3235"/>
    <w:rsid w:val="00F0390D"/>
    <w:rsid w:val="00F132FD"/>
    <w:rsid w:val="00F451FC"/>
    <w:rsid w:val="00F51C0E"/>
    <w:rsid w:val="00F96CD5"/>
    <w:rsid w:val="00FA0360"/>
    <w:rsid w:val="00FB22B1"/>
    <w:rsid w:val="00FC280D"/>
    <w:rsid w:val="00FD38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3BBF0F"/>
  <w15:chartTrackingRefBased/>
  <w15:docId w15:val="{64B06327-3BAE-4C2E-A10F-C94574E75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lang w:val="en-GB"/>
    </w:rPr>
  </w:style>
  <w:style w:type="paragraph" w:styleId="1">
    <w:name w:val="heading 1"/>
    <w:basedOn w:val="a"/>
    <w:next w:val="a"/>
    <w:link w:val="10"/>
    <w:uiPriority w:val="9"/>
    <w:qFormat/>
    <w:rsid w:val="00290D08"/>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290D0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90D08"/>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290D08"/>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290D08"/>
    <w:pPr>
      <w:keepNext/>
      <w:keepLines/>
      <w:spacing w:before="80" w:after="40"/>
      <w:outlineLvl w:val="4"/>
    </w:pPr>
    <w:rPr>
      <w:rFonts w:asciiTheme="minorHAnsi" w:eastAsiaTheme="minorEastAsia" w:hAnsiTheme="minorHAnsi" w:cstheme="majorBidi"/>
      <w:color w:val="0F4761" w:themeColor="accent1" w:themeShade="BF"/>
      <w:sz w:val="24"/>
    </w:rPr>
  </w:style>
  <w:style w:type="paragraph" w:styleId="6">
    <w:name w:val="heading 6"/>
    <w:basedOn w:val="a"/>
    <w:next w:val="a"/>
    <w:link w:val="60"/>
    <w:uiPriority w:val="9"/>
    <w:semiHidden/>
    <w:unhideWhenUsed/>
    <w:qFormat/>
    <w:rsid w:val="00290D08"/>
    <w:pPr>
      <w:keepNext/>
      <w:keepLines/>
      <w:spacing w:before="40" w:after="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rsid w:val="00290D08"/>
    <w:pPr>
      <w:keepNext/>
      <w:keepLines/>
      <w:spacing w:before="40" w:after="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290D08"/>
    <w:pPr>
      <w:keepNext/>
      <w:keepLines/>
      <w:spacing w:after="0"/>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290D08"/>
    <w:pPr>
      <w:keepNext/>
      <w:keepLines/>
      <w:spacing w:after="0"/>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90D08"/>
    <w:rPr>
      <w:rFonts w:asciiTheme="majorHAnsi" w:eastAsiaTheme="majorEastAsia" w:hAnsiTheme="majorHAnsi" w:cstheme="majorBidi"/>
      <w:color w:val="0F4761" w:themeColor="accent1" w:themeShade="BF"/>
      <w:sz w:val="48"/>
      <w:szCs w:val="48"/>
      <w:lang w:val="en-GB"/>
    </w:rPr>
  </w:style>
  <w:style w:type="character" w:customStyle="1" w:styleId="20">
    <w:name w:val="标题 2 字符"/>
    <w:basedOn w:val="a0"/>
    <w:link w:val="2"/>
    <w:uiPriority w:val="9"/>
    <w:rsid w:val="00290D08"/>
    <w:rPr>
      <w:rFonts w:asciiTheme="majorHAnsi" w:eastAsiaTheme="majorEastAsia" w:hAnsiTheme="majorHAnsi" w:cstheme="majorBidi"/>
      <w:color w:val="0F4761" w:themeColor="accent1" w:themeShade="BF"/>
      <w:sz w:val="40"/>
      <w:szCs w:val="40"/>
      <w:lang w:val="en-GB"/>
    </w:rPr>
  </w:style>
  <w:style w:type="character" w:customStyle="1" w:styleId="30">
    <w:name w:val="标题 3 字符"/>
    <w:basedOn w:val="a0"/>
    <w:link w:val="3"/>
    <w:uiPriority w:val="9"/>
    <w:semiHidden/>
    <w:rsid w:val="00290D08"/>
    <w:rPr>
      <w:rFonts w:asciiTheme="majorHAnsi" w:eastAsiaTheme="majorEastAsia" w:hAnsiTheme="majorHAnsi" w:cstheme="majorBidi"/>
      <w:color w:val="0F4761" w:themeColor="accent1" w:themeShade="BF"/>
      <w:sz w:val="32"/>
      <w:szCs w:val="32"/>
      <w:lang w:val="en-GB"/>
    </w:rPr>
  </w:style>
  <w:style w:type="character" w:customStyle="1" w:styleId="40">
    <w:name w:val="标题 4 字符"/>
    <w:basedOn w:val="a0"/>
    <w:link w:val="4"/>
    <w:uiPriority w:val="9"/>
    <w:semiHidden/>
    <w:rsid w:val="00290D08"/>
    <w:rPr>
      <w:rFonts w:asciiTheme="minorHAnsi" w:eastAsiaTheme="minorEastAsia" w:hAnsiTheme="minorHAnsi" w:cstheme="majorBidi"/>
      <w:color w:val="0F4761" w:themeColor="accent1" w:themeShade="BF"/>
      <w:sz w:val="28"/>
      <w:szCs w:val="28"/>
      <w:lang w:val="en-GB"/>
    </w:rPr>
  </w:style>
  <w:style w:type="character" w:customStyle="1" w:styleId="50">
    <w:name w:val="标题 5 字符"/>
    <w:basedOn w:val="a0"/>
    <w:link w:val="5"/>
    <w:uiPriority w:val="9"/>
    <w:semiHidden/>
    <w:rsid w:val="00290D08"/>
    <w:rPr>
      <w:rFonts w:asciiTheme="minorHAnsi" w:eastAsiaTheme="minorEastAsia" w:hAnsiTheme="minorHAnsi" w:cstheme="majorBidi"/>
      <w:color w:val="0F4761" w:themeColor="accent1" w:themeShade="BF"/>
      <w:sz w:val="24"/>
      <w:lang w:val="en-GB"/>
    </w:rPr>
  </w:style>
  <w:style w:type="character" w:customStyle="1" w:styleId="60">
    <w:name w:val="标题 6 字符"/>
    <w:basedOn w:val="a0"/>
    <w:link w:val="6"/>
    <w:uiPriority w:val="9"/>
    <w:semiHidden/>
    <w:rsid w:val="00290D08"/>
    <w:rPr>
      <w:rFonts w:asciiTheme="minorHAnsi" w:eastAsiaTheme="minorEastAsia" w:hAnsiTheme="minorHAnsi" w:cstheme="majorBidi"/>
      <w:b/>
      <w:bCs/>
      <w:color w:val="0F4761" w:themeColor="accent1" w:themeShade="BF"/>
      <w:lang w:val="en-GB"/>
    </w:rPr>
  </w:style>
  <w:style w:type="character" w:customStyle="1" w:styleId="70">
    <w:name w:val="标题 7 字符"/>
    <w:basedOn w:val="a0"/>
    <w:link w:val="7"/>
    <w:uiPriority w:val="9"/>
    <w:semiHidden/>
    <w:rsid w:val="00290D08"/>
    <w:rPr>
      <w:rFonts w:asciiTheme="minorHAnsi" w:eastAsiaTheme="minorEastAsia" w:hAnsiTheme="minorHAnsi" w:cstheme="majorBidi"/>
      <w:b/>
      <w:bCs/>
      <w:color w:val="595959" w:themeColor="text1" w:themeTint="A6"/>
      <w:lang w:val="en-GB"/>
    </w:rPr>
  </w:style>
  <w:style w:type="character" w:customStyle="1" w:styleId="80">
    <w:name w:val="标题 8 字符"/>
    <w:basedOn w:val="a0"/>
    <w:link w:val="8"/>
    <w:uiPriority w:val="9"/>
    <w:semiHidden/>
    <w:rsid w:val="00290D08"/>
    <w:rPr>
      <w:rFonts w:asciiTheme="minorHAnsi" w:eastAsiaTheme="minorEastAsia" w:hAnsiTheme="minorHAnsi" w:cstheme="majorBidi"/>
      <w:color w:val="595959" w:themeColor="text1" w:themeTint="A6"/>
      <w:lang w:val="en-GB"/>
    </w:rPr>
  </w:style>
  <w:style w:type="character" w:customStyle="1" w:styleId="90">
    <w:name w:val="标题 9 字符"/>
    <w:basedOn w:val="a0"/>
    <w:link w:val="9"/>
    <w:uiPriority w:val="9"/>
    <w:semiHidden/>
    <w:rsid w:val="00290D08"/>
    <w:rPr>
      <w:rFonts w:asciiTheme="minorHAnsi" w:eastAsiaTheme="majorEastAsia" w:hAnsiTheme="minorHAnsi" w:cstheme="majorBidi"/>
      <w:color w:val="595959" w:themeColor="text1" w:themeTint="A6"/>
      <w:lang w:val="en-GB"/>
    </w:rPr>
  </w:style>
  <w:style w:type="paragraph" w:styleId="a3">
    <w:name w:val="Title"/>
    <w:basedOn w:val="a"/>
    <w:next w:val="a"/>
    <w:link w:val="a4"/>
    <w:uiPriority w:val="10"/>
    <w:qFormat/>
    <w:rsid w:val="00290D0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90D08"/>
    <w:rPr>
      <w:rFonts w:asciiTheme="majorHAnsi" w:eastAsiaTheme="majorEastAsia" w:hAnsiTheme="majorHAnsi" w:cstheme="majorBidi"/>
      <w:spacing w:val="-10"/>
      <w:kern w:val="28"/>
      <w:sz w:val="56"/>
      <w:szCs w:val="56"/>
      <w:lang w:val="en-GB"/>
    </w:rPr>
  </w:style>
  <w:style w:type="paragraph" w:styleId="a5">
    <w:name w:val="Subtitle"/>
    <w:basedOn w:val="a"/>
    <w:next w:val="a"/>
    <w:link w:val="a6"/>
    <w:uiPriority w:val="11"/>
    <w:qFormat/>
    <w:rsid w:val="00290D0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90D08"/>
    <w:rPr>
      <w:rFonts w:asciiTheme="majorHAnsi" w:eastAsiaTheme="majorEastAsia" w:hAnsiTheme="majorHAnsi" w:cstheme="majorBidi"/>
      <w:color w:val="595959" w:themeColor="text1" w:themeTint="A6"/>
      <w:spacing w:val="15"/>
      <w:sz w:val="28"/>
      <w:szCs w:val="28"/>
      <w:lang w:val="en-GB"/>
    </w:rPr>
  </w:style>
  <w:style w:type="paragraph" w:styleId="a7">
    <w:name w:val="Quote"/>
    <w:basedOn w:val="a"/>
    <w:next w:val="a"/>
    <w:link w:val="a8"/>
    <w:uiPriority w:val="29"/>
    <w:qFormat/>
    <w:rsid w:val="00290D08"/>
    <w:pPr>
      <w:spacing w:before="160"/>
      <w:jc w:val="center"/>
    </w:pPr>
    <w:rPr>
      <w:i/>
      <w:iCs/>
      <w:color w:val="404040" w:themeColor="text1" w:themeTint="BF"/>
    </w:rPr>
  </w:style>
  <w:style w:type="character" w:customStyle="1" w:styleId="a8">
    <w:name w:val="引用 字符"/>
    <w:basedOn w:val="a0"/>
    <w:link w:val="a7"/>
    <w:uiPriority w:val="29"/>
    <w:rsid w:val="00290D08"/>
    <w:rPr>
      <w:i/>
      <w:iCs/>
      <w:color w:val="404040" w:themeColor="text1" w:themeTint="BF"/>
      <w:lang w:val="en-GB"/>
    </w:rPr>
  </w:style>
  <w:style w:type="paragraph" w:styleId="a9">
    <w:name w:val="List Paragraph"/>
    <w:basedOn w:val="a"/>
    <w:uiPriority w:val="34"/>
    <w:qFormat/>
    <w:rsid w:val="00290D08"/>
    <w:pPr>
      <w:ind w:left="720"/>
      <w:contextualSpacing/>
    </w:pPr>
  </w:style>
  <w:style w:type="character" w:styleId="aa">
    <w:name w:val="Intense Emphasis"/>
    <w:basedOn w:val="a0"/>
    <w:uiPriority w:val="21"/>
    <w:qFormat/>
    <w:rsid w:val="00290D08"/>
    <w:rPr>
      <w:i/>
      <w:iCs/>
      <w:color w:val="0F4761" w:themeColor="accent1" w:themeShade="BF"/>
    </w:rPr>
  </w:style>
  <w:style w:type="paragraph" w:styleId="ab">
    <w:name w:val="Intense Quote"/>
    <w:basedOn w:val="a"/>
    <w:next w:val="a"/>
    <w:link w:val="ac"/>
    <w:uiPriority w:val="30"/>
    <w:qFormat/>
    <w:rsid w:val="00290D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290D08"/>
    <w:rPr>
      <w:i/>
      <w:iCs/>
      <w:color w:val="0F4761" w:themeColor="accent1" w:themeShade="BF"/>
      <w:lang w:val="en-GB"/>
    </w:rPr>
  </w:style>
  <w:style w:type="character" w:styleId="ad">
    <w:name w:val="Intense Reference"/>
    <w:basedOn w:val="a0"/>
    <w:uiPriority w:val="32"/>
    <w:qFormat/>
    <w:rsid w:val="00290D08"/>
    <w:rPr>
      <w:b/>
      <w:bCs/>
      <w:smallCaps/>
      <w:color w:val="0F4761" w:themeColor="accent1" w:themeShade="BF"/>
      <w:spacing w:val="5"/>
    </w:rPr>
  </w:style>
  <w:style w:type="paragraph" w:styleId="ae">
    <w:name w:val="header"/>
    <w:basedOn w:val="a"/>
    <w:link w:val="af"/>
    <w:uiPriority w:val="99"/>
    <w:unhideWhenUsed/>
    <w:rsid w:val="000A1DA1"/>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0A1DA1"/>
    <w:rPr>
      <w:sz w:val="18"/>
      <w:szCs w:val="18"/>
      <w:lang w:val="en-GB"/>
    </w:rPr>
  </w:style>
  <w:style w:type="paragraph" w:styleId="af0">
    <w:name w:val="footer"/>
    <w:basedOn w:val="a"/>
    <w:link w:val="af1"/>
    <w:uiPriority w:val="99"/>
    <w:unhideWhenUsed/>
    <w:rsid w:val="000A1DA1"/>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0A1DA1"/>
    <w:rPr>
      <w:sz w:val="18"/>
      <w:szCs w:val="18"/>
      <w:lang w:val="en-GB"/>
    </w:rPr>
  </w:style>
  <w:style w:type="character" w:styleId="af2">
    <w:name w:val="Hyperlink"/>
    <w:basedOn w:val="a0"/>
    <w:uiPriority w:val="99"/>
    <w:unhideWhenUsed/>
    <w:rsid w:val="00517D91"/>
    <w:rPr>
      <w:color w:val="467886" w:themeColor="hyperlink"/>
      <w:u w:val="single"/>
    </w:rPr>
  </w:style>
  <w:style w:type="character" w:styleId="af3">
    <w:name w:val="Unresolved Mention"/>
    <w:basedOn w:val="a0"/>
    <w:uiPriority w:val="99"/>
    <w:semiHidden/>
    <w:unhideWhenUsed/>
    <w:rsid w:val="00517D91"/>
    <w:rPr>
      <w:color w:val="605E5C"/>
      <w:shd w:val="clear" w:color="auto" w:fill="E1DFDD"/>
    </w:rPr>
  </w:style>
  <w:style w:type="paragraph" w:styleId="af4">
    <w:name w:val="footnote text"/>
    <w:basedOn w:val="a"/>
    <w:link w:val="af5"/>
    <w:uiPriority w:val="99"/>
    <w:semiHidden/>
    <w:unhideWhenUsed/>
    <w:rsid w:val="008B5BAE"/>
    <w:pPr>
      <w:snapToGrid w:val="0"/>
    </w:pPr>
    <w:rPr>
      <w:sz w:val="18"/>
      <w:szCs w:val="18"/>
    </w:rPr>
  </w:style>
  <w:style w:type="character" w:customStyle="1" w:styleId="af5">
    <w:name w:val="脚注文本 字符"/>
    <w:basedOn w:val="a0"/>
    <w:link w:val="af4"/>
    <w:uiPriority w:val="99"/>
    <w:semiHidden/>
    <w:rsid w:val="008B5BAE"/>
    <w:rPr>
      <w:sz w:val="18"/>
      <w:szCs w:val="18"/>
      <w:lang w:val="en-GB"/>
    </w:rPr>
  </w:style>
  <w:style w:type="character" w:styleId="af6">
    <w:name w:val="footnote reference"/>
    <w:basedOn w:val="a0"/>
    <w:uiPriority w:val="99"/>
    <w:semiHidden/>
    <w:unhideWhenUsed/>
    <w:rsid w:val="008B5B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arxiv.org/abs/2009.10053" TargetMode="Externa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arxiv.org/abs/2009.10053"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544906CE-0D49-4D5A-A0FF-2E4785A7E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692</TotalTime>
  <Pages>7</Pages>
  <Words>2623</Words>
  <Characters>3910</Characters>
  <Application>Microsoft Office Word</Application>
  <DocSecurity>0</DocSecurity>
  <Lines>105</Lines>
  <Paragraphs>39</Paragraphs>
  <ScaleCrop>false</ScaleCrop>
  <Company/>
  <LinksUpToDate>false</LinksUpToDate>
  <CharactersWithSpaces>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Wesley</dc:creator>
  <cp:keywords/>
  <dc:description/>
  <cp:lastModifiedBy>Bruce Wesley</cp:lastModifiedBy>
  <cp:revision>77</cp:revision>
  <dcterms:created xsi:type="dcterms:W3CDTF">2026-06-22T10:18:00Z</dcterms:created>
  <dcterms:modified xsi:type="dcterms:W3CDTF">2026-06-24T15:16:00Z</dcterms:modified>
</cp:coreProperties>
</file>